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0BE9" w14:textId="4BB836C9" w:rsidR="00984BD0" w:rsidRPr="00984BD0" w:rsidRDefault="00984BD0">
      <w:pPr>
        <w:rPr>
          <w:rFonts w:asciiTheme="minorHAnsi" w:hAnsiTheme="minorHAnsi"/>
          <w:b/>
          <w:bCs/>
          <w:sz w:val="28"/>
          <w:szCs w:val="28"/>
        </w:rPr>
      </w:pPr>
      <w:r w:rsidRPr="00984BD0">
        <w:rPr>
          <w:rFonts w:asciiTheme="minorHAnsi" w:hAnsiTheme="minorHAnsi"/>
          <w:b/>
          <w:bCs/>
          <w:sz w:val="28"/>
          <w:szCs w:val="28"/>
        </w:rPr>
        <w:t>NPP Paragraphs to cite in objections to sites in Brinklow</w:t>
      </w:r>
    </w:p>
    <w:p w14:paraId="7AC4ECCA" w14:textId="77777777" w:rsidR="00984BD0" w:rsidRPr="00984BD0" w:rsidRDefault="00984BD0">
      <w:pPr>
        <w:rPr>
          <w:rFonts w:asciiTheme="minorHAnsi" w:hAnsiTheme="minorHAnsi"/>
        </w:rPr>
      </w:pPr>
    </w:p>
    <w:p w14:paraId="69F74077" w14:textId="125FA836" w:rsidR="00F35E8B" w:rsidRPr="00984BD0" w:rsidRDefault="0046793E">
      <w:pPr>
        <w:rPr>
          <w:rFonts w:asciiTheme="minorHAnsi" w:hAnsiTheme="minorHAnsi"/>
          <w:b/>
          <w:bCs/>
        </w:rPr>
      </w:pPr>
      <w:r w:rsidRPr="00984BD0">
        <w:rPr>
          <w:rFonts w:asciiTheme="minorHAnsi" w:hAnsiTheme="minorHAnsi"/>
          <w:b/>
          <w:bCs/>
        </w:rPr>
        <w:t>Paragraph 8(c)</w:t>
      </w:r>
    </w:p>
    <w:tbl>
      <w:tblPr>
        <w:tblStyle w:val="TableGrid"/>
        <w:tblW w:w="0" w:type="auto"/>
        <w:tblLook w:val="04A0" w:firstRow="1" w:lastRow="0" w:firstColumn="1" w:lastColumn="0" w:noHBand="0" w:noVBand="1"/>
      </w:tblPr>
      <w:tblGrid>
        <w:gridCol w:w="2547"/>
        <w:gridCol w:w="6469"/>
      </w:tblGrid>
      <w:tr w:rsidR="00984BD0" w:rsidRPr="00984BD0" w14:paraId="4895ADF3" w14:textId="77777777" w:rsidTr="00984BD0">
        <w:tc>
          <w:tcPr>
            <w:tcW w:w="2547" w:type="dxa"/>
          </w:tcPr>
          <w:p w14:paraId="10330D69" w14:textId="60FFF70C" w:rsidR="00984BD0" w:rsidRPr="00984BD0" w:rsidRDefault="00984BD0">
            <w:pPr>
              <w:rPr>
                <w:rFonts w:asciiTheme="minorHAnsi" w:hAnsiTheme="minorHAnsi"/>
              </w:rPr>
            </w:pPr>
            <w:r w:rsidRPr="00984BD0">
              <w:rPr>
                <w:rFonts w:asciiTheme="minorHAnsi" w:hAnsiTheme="minorHAnsi"/>
              </w:rPr>
              <w:t>Text from NPPF</w:t>
            </w:r>
          </w:p>
        </w:tc>
        <w:tc>
          <w:tcPr>
            <w:tcW w:w="6469" w:type="dxa"/>
          </w:tcPr>
          <w:p w14:paraId="11962853" w14:textId="412104A1" w:rsidR="00984BD0" w:rsidRPr="00984BD0" w:rsidRDefault="00984BD0">
            <w:pPr>
              <w:rPr>
                <w:rFonts w:asciiTheme="minorHAnsi" w:hAnsiTheme="minorHAnsi"/>
              </w:rPr>
            </w:pPr>
            <w:r w:rsidRPr="00984BD0">
              <w:rPr>
                <w:rFonts w:asciiTheme="minorHAnsi" w:hAnsiTheme="minorHAnsi"/>
              </w:rPr>
              <w:t>A</w:t>
            </w:r>
            <w:r w:rsidRPr="00984BD0">
              <w:rPr>
                <w:rFonts w:asciiTheme="minorHAnsi" w:hAnsiTheme="minorHAnsi"/>
              </w:rPr>
              <w:t>n environmental objective – to protect and enhance our natural, built and historic environment; including making effective use of land, improving biodiversity, using natural resources prudently, minimising waste and pollution, and mitigating and adapting to climate change, including moving to a low carbon economy.</w:t>
            </w:r>
          </w:p>
        </w:tc>
      </w:tr>
      <w:tr w:rsidR="00984BD0" w:rsidRPr="00984BD0" w14:paraId="17201409" w14:textId="77777777" w:rsidTr="00984BD0">
        <w:tc>
          <w:tcPr>
            <w:tcW w:w="2547" w:type="dxa"/>
          </w:tcPr>
          <w:p w14:paraId="313F2D27" w14:textId="669EB8BE" w:rsidR="00984BD0" w:rsidRPr="00984BD0" w:rsidRDefault="00984BD0">
            <w:pPr>
              <w:rPr>
                <w:rFonts w:asciiTheme="minorHAnsi" w:hAnsiTheme="minorHAnsi"/>
              </w:rPr>
            </w:pPr>
            <w:r w:rsidRPr="00984BD0">
              <w:rPr>
                <w:rFonts w:asciiTheme="minorHAnsi" w:hAnsiTheme="minorHAnsi"/>
              </w:rPr>
              <w:t>Relevance to Brinklow</w:t>
            </w:r>
          </w:p>
        </w:tc>
        <w:tc>
          <w:tcPr>
            <w:tcW w:w="6469" w:type="dxa"/>
          </w:tcPr>
          <w:p w14:paraId="5FB3FDE5" w14:textId="1107FF28" w:rsidR="00984BD0" w:rsidRPr="00984BD0" w:rsidRDefault="00984BD0">
            <w:pPr>
              <w:rPr>
                <w:rFonts w:asciiTheme="minorHAnsi" w:hAnsiTheme="minorHAnsi"/>
              </w:rPr>
            </w:pPr>
            <w:r w:rsidRPr="00984BD0">
              <w:rPr>
                <w:rFonts w:asciiTheme="minorHAnsi" w:hAnsiTheme="minorHAnsi"/>
              </w:rPr>
              <w:t xml:space="preserve">Sites 315 and 337 do not enhance the historic environment – the scale of expansion in </w:t>
            </w:r>
            <w:proofErr w:type="spellStart"/>
            <w:r w:rsidRPr="00984BD0">
              <w:rPr>
                <w:rFonts w:asciiTheme="minorHAnsi" w:hAnsiTheme="minorHAnsi"/>
              </w:rPr>
              <w:t>Brinkow</w:t>
            </w:r>
            <w:proofErr w:type="spellEnd"/>
            <w:r w:rsidRPr="00984BD0">
              <w:rPr>
                <w:rFonts w:asciiTheme="minorHAnsi" w:hAnsiTheme="minorHAnsi"/>
              </w:rPr>
              <w:t xml:space="preserve"> will cause irreversible harm to the landscape setting, village character and settlement identity.</w:t>
            </w:r>
          </w:p>
        </w:tc>
      </w:tr>
      <w:tr w:rsidR="00984BD0" w:rsidRPr="00984BD0" w14:paraId="3C0BDFC2" w14:textId="77777777" w:rsidTr="00984BD0">
        <w:tc>
          <w:tcPr>
            <w:tcW w:w="2547" w:type="dxa"/>
          </w:tcPr>
          <w:p w14:paraId="44AD4894" w14:textId="5D3063E4" w:rsidR="00984BD0" w:rsidRPr="00984BD0" w:rsidRDefault="00984BD0">
            <w:pPr>
              <w:rPr>
                <w:rFonts w:asciiTheme="minorHAnsi" w:hAnsiTheme="minorHAnsi"/>
              </w:rPr>
            </w:pPr>
            <w:r w:rsidRPr="00984BD0">
              <w:rPr>
                <w:rFonts w:asciiTheme="minorHAnsi" w:hAnsiTheme="minorHAnsi"/>
              </w:rPr>
              <w:t>Theme relevance</w:t>
            </w:r>
          </w:p>
        </w:tc>
        <w:tc>
          <w:tcPr>
            <w:tcW w:w="6469" w:type="dxa"/>
          </w:tcPr>
          <w:p w14:paraId="46C62F28" w14:textId="6EF5C551" w:rsidR="00984BD0" w:rsidRPr="00984BD0" w:rsidRDefault="00984BD0">
            <w:pPr>
              <w:rPr>
                <w:rFonts w:asciiTheme="minorHAnsi" w:hAnsiTheme="minorHAnsi"/>
              </w:rPr>
            </w:pPr>
            <w:r w:rsidRPr="00984BD0">
              <w:rPr>
                <w:rFonts w:asciiTheme="minorHAnsi" w:hAnsiTheme="minorHAnsi"/>
              </w:rPr>
              <w:t>Scale, heritage, environment</w:t>
            </w:r>
          </w:p>
        </w:tc>
      </w:tr>
    </w:tbl>
    <w:p w14:paraId="1A92AB25" w14:textId="77777777" w:rsidR="00984BD0" w:rsidRPr="00984BD0" w:rsidRDefault="00984BD0">
      <w:pPr>
        <w:rPr>
          <w:rFonts w:asciiTheme="minorHAnsi" w:hAnsiTheme="minorHAnsi"/>
        </w:rPr>
      </w:pPr>
    </w:p>
    <w:p w14:paraId="76B5B9F7" w14:textId="77777777" w:rsidR="00984BD0" w:rsidRPr="00984BD0" w:rsidRDefault="00984BD0">
      <w:pPr>
        <w:rPr>
          <w:rFonts w:asciiTheme="minorHAnsi" w:hAnsiTheme="minorHAnsi"/>
        </w:rPr>
      </w:pPr>
    </w:p>
    <w:p w14:paraId="4A6AC4AD" w14:textId="57FF4B60" w:rsidR="00984BD0" w:rsidRPr="00984BD0" w:rsidRDefault="00984BD0">
      <w:pPr>
        <w:rPr>
          <w:rFonts w:asciiTheme="minorHAnsi" w:hAnsiTheme="minorHAnsi"/>
          <w:b/>
          <w:bCs/>
        </w:rPr>
      </w:pPr>
      <w:r w:rsidRPr="00984BD0">
        <w:rPr>
          <w:rFonts w:asciiTheme="minorHAnsi" w:hAnsiTheme="minorHAnsi"/>
          <w:b/>
          <w:bCs/>
        </w:rPr>
        <w:t>Paragraph 11 (a)</w:t>
      </w:r>
    </w:p>
    <w:tbl>
      <w:tblPr>
        <w:tblStyle w:val="TableGrid"/>
        <w:tblW w:w="0" w:type="auto"/>
        <w:tblLook w:val="04A0" w:firstRow="1" w:lastRow="0" w:firstColumn="1" w:lastColumn="0" w:noHBand="0" w:noVBand="1"/>
      </w:tblPr>
      <w:tblGrid>
        <w:gridCol w:w="2547"/>
        <w:gridCol w:w="6469"/>
      </w:tblGrid>
      <w:tr w:rsidR="00984BD0" w:rsidRPr="00984BD0" w14:paraId="7A764D1E" w14:textId="77777777" w:rsidTr="00E6138D">
        <w:tc>
          <w:tcPr>
            <w:tcW w:w="2547" w:type="dxa"/>
          </w:tcPr>
          <w:p w14:paraId="61221318" w14:textId="77777777" w:rsidR="00984BD0" w:rsidRPr="00984BD0" w:rsidRDefault="00984BD0" w:rsidP="00E6138D">
            <w:pPr>
              <w:rPr>
                <w:rFonts w:asciiTheme="minorHAnsi" w:hAnsiTheme="minorHAnsi"/>
              </w:rPr>
            </w:pPr>
            <w:r w:rsidRPr="00984BD0">
              <w:rPr>
                <w:rFonts w:asciiTheme="minorHAnsi" w:hAnsiTheme="minorHAnsi"/>
              </w:rPr>
              <w:t>Text from NPPF</w:t>
            </w:r>
          </w:p>
        </w:tc>
        <w:tc>
          <w:tcPr>
            <w:tcW w:w="6469" w:type="dxa"/>
          </w:tcPr>
          <w:p w14:paraId="73435DE7" w14:textId="05EE1614" w:rsidR="00984BD0" w:rsidRPr="00984BD0" w:rsidRDefault="00984BD0" w:rsidP="00E6138D">
            <w:pPr>
              <w:rPr>
                <w:rFonts w:asciiTheme="minorHAnsi" w:hAnsiTheme="minorHAnsi"/>
              </w:rPr>
            </w:pPr>
            <w:r w:rsidRPr="00984BD0">
              <w:rPr>
                <w:rFonts w:asciiTheme="minorHAnsi" w:hAnsiTheme="minorHAnsi"/>
              </w:rPr>
              <w:t>all plans should promote a sustainable pattern of development that seeks to: meet the development needs of their area; align growth and infrastructure; improve the environment; mitigate climate change (including by making effective use of land in urban areas) and adapt to its effects;</w:t>
            </w:r>
          </w:p>
        </w:tc>
      </w:tr>
      <w:tr w:rsidR="00984BD0" w:rsidRPr="00984BD0" w14:paraId="352CA0B8" w14:textId="77777777" w:rsidTr="00E6138D">
        <w:tc>
          <w:tcPr>
            <w:tcW w:w="2547" w:type="dxa"/>
          </w:tcPr>
          <w:p w14:paraId="27796ED0" w14:textId="77777777" w:rsidR="00984BD0" w:rsidRPr="00984BD0" w:rsidRDefault="00984BD0" w:rsidP="00E6138D">
            <w:pPr>
              <w:rPr>
                <w:rFonts w:asciiTheme="minorHAnsi" w:hAnsiTheme="minorHAnsi"/>
              </w:rPr>
            </w:pPr>
            <w:r w:rsidRPr="00984BD0">
              <w:rPr>
                <w:rFonts w:asciiTheme="minorHAnsi" w:hAnsiTheme="minorHAnsi"/>
              </w:rPr>
              <w:t>Relevance to Brinklow</w:t>
            </w:r>
          </w:p>
        </w:tc>
        <w:tc>
          <w:tcPr>
            <w:tcW w:w="6469" w:type="dxa"/>
          </w:tcPr>
          <w:p w14:paraId="789CDF3A" w14:textId="271A7A52" w:rsidR="00984BD0" w:rsidRPr="00984BD0" w:rsidRDefault="00984BD0" w:rsidP="00E6138D">
            <w:pPr>
              <w:rPr>
                <w:rFonts w:asciiTheme="minorHAnsi" w:hAnsiTheme="minorHAnsi"/>
              </w:rPr>
            </w:pPr>
            <w:r w:rsidRPr="00984BD0">
              <w:rPr>
                <w:rFonts w:asciiTheme="minorHAnsi" w:hAnsiTheme="minorHAnsi"/>
              </w:rPr>
              <w:t>The village relies on car travel, lacks access to schools, has healthcare at capacity and has no expectation of any improvement in infrastructure. Nor do the plans align with assessed need identified in Brinklow’s Neighbourhood Plan</w:t>
            </w:r>
          </w:p>
        </w:tc>
      </w:tr>
      <w:tr w:rsidR="00984BD0" w:rsidRPr="00984BD0" w14:paraId="2A547FD4" w14:textId="77777777" w:rsidTr="00E6138D">
        <w:tc>
          <w:tcPr>
            <w:tcW w:w="2547" w:type="dxa"/>
          </w:tcPr>
          <w:p w14:paraId="0C1E7502" w14:textId="77777777" w:rsidR="00984BD0" w:rsidRPr="00984BD0" w:rsidRDefault="00984BD0" w:rsidP="00E6138D">
            <w:pPr>
              <w:rPr>
                <w:rFonts w:asciiTheme="minorHAnsi" w:hAnsiTheme="minorHAnsi"/>
              </w:rPr>
            </w:pPr>
            <w:r w:rsidRPr="00984BD0">
              <w:rPr>
                <w:rFonts w:asciiTheme="minorHAnsi" w:hAnsiTheme="minorHAnsi"/>
              </w:rPr>
              <w:t>Theme relevance</w:t>
            </w:r>
          </w:p>
        </w:tc>
        <w:tc>
          <w:tcPr>
            <w:tcW w:w="6469" w:type="dxa"/>
          </w:tcPr>
          <w:p w14:paraId="077B901E" w14:textId="5DEC0D71" w:rsidR="00984BD0" w:rsidRPr="00984BD0" w:rsidRDefault="00984BD0" w:rsidP="00E6138D">
            <w:pPr>
              <w:rPr>
                <w:rFonts w:asciiTheme="minorHAnsi" w:hAnsiTheme="minorHAnsi"/>
              </w:rPr>
            </w:pPr>
            <w:r w:rsidRPr="00984BD0">
              <w:rPr>
                <w:rFonts w:asciiTheme="minorHAnsi" w:hAnsiTheme="minorHAnsi"/>
              </w:rPr>
              <w:t>Scale</w:t>
            </w:r>
          </w:p>
        </w:tc>
      </w:tr>
    </w:tbl>
    <w:p w14:paraId="627CBA3F" w14:textId="77777777" w:rsidR="00984BD0" w:rsidRPr="00984BD0" w:rsidRDefault="00984BD0">
      <w:pPr>
        <w:rPr>
          <w:rFonts w:asciiTheme="minorHAnsi" w:hAnsiTheme="minorHAnsi"/>
        </w:rPr>
      </w:pPr>
    </w:p>
    <w:p w14:paraId="69F74083" w14:textId="77777777" w:rsidR="00F35E8B" w:rsidRPr="00984BD0" w:rsidRDefault="00F35E8B">
      <w:pPr>
        <w:rPr>
          <w:rFonts w:asciiTheme="minorHAnsi" w:hAnsiTheme="minorHAnsi"/>
        </w:rPr>
      </w:pPr>
    </w:p>
    <w:p w14:paraId="69F74084" w14:textId="6D76B341" w:rsidR="00F35E8B" w:rsidRPr="00984BD0" w:rsidRDefault="0046793E">
      <w:pPr>
        <w:rPr>
          <w:rFonts w:asciiTheme="minorHAnsi" w:hAnsiTheme="minorHAnsi"/>
          <w:b/>
          <w:bCs/>
        </w:rPr>
      </w:pPr>
      <w:r w:rsidRPr="00984BD0">
        <w:rPr>
          <w:rFonts w:asciiTheme="minorHAnsi" w:hAnsiTheme="minorHAnsi"/>
          <w:b/>
          <w:bCs/>
        </w:rPr>
        <w:t>Paragraph 2</w:t>
      </w:r>
      <w:r w:rsidR="00984BD0" w:rsidRPr="00984BD0">
        <w:rPr>
          <w:rFonts w:asciiTheme="minorHAnsi" w:hAnsiTheme="minorHAnsi"/>
          <w:b/>
          <w:bCs/>
        </w:rPr>
        <w:t>2</w:t>
      </w:r>
    </w:p>
    <w:p w14:paraId="2BC3EA4C" w14:textId="77777777" w:rsidR="00984BD0" w:rsidRDefault="00984BD0">
      <w:pPr>
        <w:rPr>
          <w:rFonts w:asciiTheme="minorHAnsi" w:hAnsiTheme="minorHAnsi"/>
        </w:rPr>
      </w:pPr>
    </w:p>
    <w:tbl>
      <w:tblPr>
        <w:tblStyle w:val="TableGrid"/>
        <w:tblW w:w="0" w:type="auto"/>
        <w:tblLook w:val="04A0" w:firstRow="1" w:lastRow="0" w:firstColumn="1" w:lastColumn="0" w:noHBand="0" w:noVBand="1"/>
      </w:tblPr>
      <w:tblGrid>
        <w:gridCol w:w="2547"/>
        <w:gridCol w:w="6469"/>
      </w:tblGrid>
      <w:tr w:rsidR="00984BD0" w:rsidRPr="00984BD0" w14:paraId="40A2CA07" w14:textId="77777777" w:rsidTr="00E6138D">
        <w:tc>
          <w:tcPr>
            <w:tcW w:w="2547" w:type="dxa"/>
          </w:tcPr>
          <w:p w14:paraId="0C1758F7" w14:textId="77777777" w:rsidR="00984BD0" w:rsidRPr="00984BD0" w:rsidRDefault="00984BD0" w:rsidP="00E6138D">
            <w:pPr>
              <w:rPr>
                <w:rFonts w:asciiTheme="minorHAnsi" w:hAnsiTheme="minorHAnsi"/>
              </w:rPr>
            </w:pPr>
            <w:r w:rsidRPr="00984BD0">
              <w:rPr>
                <w:rFonts w:asciiTheme="minorHAnsi" w:hAnsiTheme="minorHAnsi"/>
              </w:rPr>
              <w:t>Text from NPPF</w:t>
            </w:r>
          </w:p>
        </w:tc>
        <w:tc>
          <w:tcPr>
            <w:tcW w:w="6469" w:type="dxa"/>
          </w:tcPr>
          <w:p w14:paraId="76BCB619" w14:textId="11863EA8" w:rsidR="00984BD0" w:rsidRPr="00984BD0" w:rsidRDefault="00984BD0" w:rsidP="00E6138D">
            <w:pPr>
              <w:rPr>
                <w:rFonts w:asciiTheme="minorHAnsi" w:hAnsiTheme="minorHAnsi"/>
              </w:rPr>
            </w:pPr>
            <w:r w:rsidRPr="00984BD0">
              <w:rPr>
                <w:rFonts w:asciiTheme="minorHAnsi" w:hAnsiTheme="minorHAnsi"/>
              </w:rPr>
              <w:t>Strategic policies should look ahead over a minimum 15 year period from adoption14 , to anticipate and respond to long-term requirements and opportunities, such as those arising from major improvements in infrastructure. Where larger scale developments such as new settlements or significant extensions to existing villages and towns form part of the strategy for the area, policies should be set within a vision that looks further ahead (at least 30 years), to take into account the likely timescale for deliver</w:t>
            </w:r>
          </w:p>
        </w:tc>
      </w:tr>
      <w:tr w:rsidR="00984BD0" w:rsidRPr="00984BD0" w14:paraId="3257E5B3" w14:textId="77777777" w:rsidTr="00E6138D">
        <w:tc>
          <w:tcPr>
            <w:tcW w:w="2547" w:type="dxa"/>
          </w:tcPr>
          <w:p w14:paraId="402D4C94" w14:textId="77777777" w:rsidR="00984BD0" w:rsidRPr="00984BD0" w:rsidRDefault="00984BD0" w:rsidP="00E6138D">
            <w:pPr>
              <w:rPr>
                <w:rFonts w:asciiTheme="minorHAnsi" w:hAnsiTheme="minorHAnsi"/>
              </w:rPr>
            </w:pPr>
            <w:r w:rsidRPr="00984BD0">
              <w:rPr>
                <w:rFonts w:asciiTheme="minorHAnsi" w:hAnsiTheme="minorHAnsi"/>
              </w:rPr>
              <w:t>Relevance to Brinklow</w:t>
            </w:r>
          </w:p>
        </w:tc>
        <w:tc>
          <w:tcPr>
            <w:tcW w:w="6469" w:type="dxa"/>
          </w:tcPr>
          <w:p w14:paraId="24DFA208" w14:textId="57DCD113" w:rsidR="00984BD0" w:rsidRPr="00984BD0" w:rsidRDefault="008668D4" w:rsidP="00E6138D">
            <w:pPr>
              <w:rPr>
                <w:rFonts w:asciiTheme="minorHAnsi" w:hAnsiTheme="minorHAnsi"/>
              </w:rPr>
            </w:pPr>
            <w:r>
              <w:rPr>
                <w:rFonts w:asciiTheme="minorHAnsi" w:hAnsiTheme="minorHAnsi"/>
              </w:rPr>
              <w:t>A 70% increase in the size of the village should be considered to be a significant extension, but no 30 year plan has been provided that indicates a vision for the village and how essential services and infrastructure will be provided for. T</w:t>
            </w:r>
            <w:r w:rsidRPr="00984BD0">
              <w:rPr>
                <w:rFonts w:asciiTheme="minorHAnsi" w:hAnsiTheme="minorHAnsi"/>
              </w:rPr>
              <w:t xml:space="preserve">he plan has failed to justify why growth of this magnitude is appropriate for </w:t>
            </w:r>
            <w:r>
              <w:rPr>
                <w:rFonts w:asciiTheme="minorHAnsi" w:hAnsiTheme="minorHAnsi"/>
              </w:rPr>
              <w:t xml:space="preserve">the </w:t>
            </w:r>
            <w:r w:rsidRPr="00984BD0">
              <w:rPr>
                <w:rFonts w:asciiTheme="minorHAnsi" w:hAnsiTheme="minorHAnsi"/>
              </w:rPr>
              <w:t>village</w:t>
            </w:r>
            <w:r>
              <w:rPr>
                <w:rFonts w:asciiTheme="minorHAnsi" w:hAnsiTheme="minorHAnsi"/>
              </w:rPr>
              <w:t>.</w:t>
            </w:r>
          </w:p>
        </w:tc>
      </w:tr>
      <w:tr w:rsidR="00984BD0" w:rsidRPr="00984BD0" w14:paraId="736A9290" w14:textId="77777777" w:rsidTr="00E6138D">
        <w:tc>
          <w:tcPr>
            <w:tcW w:w="2547" w:type="dxa"/>
          </w:tcPr>
          <w:p w14:paraId="7113C0DE" w14:textId="77777777" w:rsidR="00984BD0" w:rsidRPr="00984BD0" w:rsidRDefault="00984BD0" w:rsidP="00E6138D">
            <w:pPr>
              <w:rPr>
                <w:rFonts w:asciiTheme="minorHAnsi" w:hAnsiTheme="minorHAnsi"/>
              </w:rPr>
            </w:pPr>
            <w:r w:rsidRPr="00984BD0">
              <w:rPr>
                <w:rFonts w:asciiTheme="minorHAnsi" w:hAnsiTheme="minorHAnsi"/>
              </w:rPr>
              <w:t>Theme relevance</w:t>
            </w:r>
          </w:p>
        </w:tc>
        <w:tc>
          <w:tcPr>
            <w:tcW w:w="6469" w:type="dxa"/>
          </w:tcPr>
          <w:p w14:paraId="1DDAF15F" w14:textId="77777777" w:rsidR="00984BD0" w:rsidRPr="00984BD0" w:rsidRDefault="00984BD0" w:rsidP="00E6138D">
            <w:pPr>
              <w:rPr>
                <w:rFonts w:asciiTheme="minorHAnsi" w:hAnsiTheme="minorHAnsi"/>
              </w:rPr>
            </w:pPr>
            <w:r w:rsidRPr="00984BD0">
              <w:rPr>
                <w:rFonts w:asciiTheme="minorHAnsi" w:hAnsiTheme="minorHAnsi"/>
              </w:rPr>
              <w:t>Scale</w:t>
            </w:r>
          </w:p>
        </w:tc>
      </w:tr>
    </w:tbl>
    <w:p w14:paraId="21F6974E" w14:textId="77777777" w:rsidR="00984BD0" w:rsidRPr="00984BD0" w:rsidRDefault="00984BD0">
      <w:pPr>
        <w:rPr>
          <w:rFonts w:asciiTheme="minorHAnsi" w:hAnsiTheme="minorHAnsi"/>
        </w:rPr>
      </w:pPr>
    </w:p>
    <w:p w14:paraId="69F74087" w14:textId="77777777" w:rsidR="00F35E8B" w:rsidRPr="00984BD0" w:rsidRDefault="00F35E8B">
      <w:pPr>
        <w:rPr>
          <w:rFonts w:asciiTheme="minorHAnsi" w:hAnsiTheme="minorHAnsi"/>
        </w:rPr>
      </w:pPr>
    </w:p>
    <w:p w14:paraId="711D5E3B" w14:textId="77777777" w:rsidR="008668D4" w:rsidRPr="008668D4" w:rsidRDefault="008668D4" w:rsidP="008668D4">
      <w:pPr>
        <w:rPr>
          <w:rFonts w:asciiTheme="minorHAnsi" w:hAnsiTheme="minorHAnsi"/>
          <w:b/>
          <w:bCs/>
        </w:rPr>
      </w:pPr>
      <w:r w:rsidRPr="008668D4">
        <w:rPr>
          <w:rFonts w:asciiTheme="minorHAnsi" w:hAnsiTheme="minorHAnsi"/>
          <w:b/>
          <w:bCs/>
        </w:rPr>
        <w:t>Paragraph 77</w:t>
      </w:r>
    </w:p>
    <w:p w14:paraId="69F7408D" w14:textId="77777777" w:rsidR="00F35E8B" w:rsidRPr="00984BD0" w:rsidRDefault="00F35E8B">
      <w:pPr>
        <w:ind w:firstLine="720"/>
        <w:rPr>
          <w:rFonts w:asciiTheme="minorHAnsi" w:hAnsiTheme="minorHAnsi"/>
        </w:rPr>
      </w:pPr>
    </w:p>
    <w:tbl>
      <w:tblPr>
        <w:tblStyle w:val="TableGrid"/>
        <w:tblW w:w="0" w:type="auto"/>
        <w:tblLook w:val="04A0" w:firstRow="1" w:lastRow="0" w:firstColumn="1" w:lastColumn="0" w:noHBand="0" w:noVBand="1"/>
      </w:tblPr>
      <w:tblGrid>
        <w:gridCol w:w="2547"/>
        <w:gridCol w:w="6469"/>
      </w:tblGrid>
      <w:tr w:rsidR="008668D4" w:rsidRPr="00984BD0" w14:paraId="78B1A6A7" w14:textId="77777777" w:rsidTr="00E6138D">
        <w:tc>
          <w:tcPr>
            <w:tcW w:w="2547" w:type="dxa"/>
          </w:tcPr>
          <w:p w14:paraId="14B23FA9" w14:textId="77777777" w:rsidR="008668D4" w:rsidRPr="00984BD0" w:rsidRDefault="008668D4" w:rsidP="00E6138D">
            <w:pPr>
              <w:rPr>
                <w:rFonts w:asciiTheme="minorHAnsi" w:hAnsiTheme="minorHAnsi"/>
              </w:rPr>
            </w:pPr>
            <w:r w:rsidRPr="00984BD0">
              <w:rPr>
                <w:rFonts w:asciiTheme="minorHAnsi" w:hAnsiTheme="minorHAnsi"/>
              </w:rPr>
              <w:t>Text from NPPF</w:t>
            </w:r>
          </w:p>
        </w:tc>
        <w:tc>
          <w:tcPr>
            <w:tcW w:w="6469" w:type="dxa"/>
          </w:tcPr>
          <w:p w14:paraId="246B3371" w14:textId="77777777" w:rsidR="008668D4" w:rsidRDefault="008668D4" w:rsidP="00E6138D">
            <w:pPr>
              <w:rPr>
                <w:rFonts w:asciiTheme="minorHAnsi" w:hAnsiTheme="minorHAnsi"/>
              </w:rPr>
            </w:pPr>
            <w:r w:rsidRPr="008668D4">
              <w:rPr>
                <w:rFonts w:asciiTheme="minorHAnsi" w:hAnsiTheme="minorHAnsi"/>
              </w:rPr>
              <w:t>The supply of large numbers of new homes can often be best achieved through planning for larger scale development, such as new settlements or significant extensions to existing villages and towns, provided they are well located and designed, and supported by the necessary infrastructure and facilities (including a genuine choice of transport modes). Working with the support of their communities, and with other authorities if appropriate, strategic policy-making authorities should identify suitable locations for such development where this can help to meet identified needs in a sustainable way. In doing so, they should:</w:t>
            </w:r>
          </w:p>
          <w:p w14:paraId="25050EBE" w14:textId="77777777" w:rsidR="008668D4" w:rsidRDefault="008668D4" w:rsidP="00E6138D">
            <w:pPr>
              <w:rPr>
                <w:rFonts w:asciiTheme="minorHAnsi" w:hAnsiTheme="minorHAnsi"/>
              </w:rPr>
            </w:pPr>
            <w:r w:rsidRPr="008668D4">
              <w:rPr>
                <w:rFonts w:asciiTheme="minorHAnsi" w:hAnsiTheme="minorHAnsi"/>
              </w:rPr>
              <w:t xml:space="preserve"> a) consider the opportunities presented by existing or planned investment in infrastructure, the area’s economic potential and the scope for net environmental gains; </w:t>
            </w:r>
          </w:p>
          <w:p w14:paraId="56E4B7E6" w14:textId="77777777" w:rsidR="008668D4" w:rsidRDefault="008668D4" w:rsidP="00E6138D">
            <w:pPr>
              <w:rPr>
                <w:rFonts w:asciiTheme="minorHAnsi" w:hAnsiTheme="minorHAnsi"/>
              </w:rPr>
            </w:pPr>
            <w:r w:rsidRPr="008668D4">
              <w:rPr>
                <w:rFonts w:asciiTheme="minorHAnsi" w:hAnsiTheme="minorHAnsi"/>
              </w:rPr>
              <w:t>b) ensure that their size and location will support a sustainable community, with sufficient access to services and employment opportunities within the</w:t>
            </w:r>
            <w:r w:rsidRPr="008668D4">
              <w:t xml:space="preserve"> </w:t>
            </w:r>
            <w:r w:rsidRPr="008668D4">
              <w:rPr>
                <w:rFonts w:asciiTheme="minorHAnsi" w:hAnsiTheme="minorHAnsi"/>
              </w:rPr>
              <w:t xml:space="preserve">development itself (without expecting an unrealistic level of self-containment), or in larger towns to which there is good access; </w:t>
            </w:r>
          </w:p>
          <w:p w14:paraId="22008DD6" w14:textId="77777777" w:rsidR="008668D4" w:rsidRDefault="008668D4" w:rsidP="00E6138D">
            <w:pPr>
              <w:rPr>
                <w:rFonts w:asciiTheme="minorHAnsi" w:hAnsiTheme="minorHAnsi"/>
              </w:rPr>
            </w:pPr>
            <w:r w:rsidRPr="008668D4">
              <w:rPr>
                <w:rFonts w:asciiTheme="minorHAnsi" w:hAnsiTheme="minorHAnsi"/>
              </w:rPr>
              <w:t xml:space="preserve">c) set clear expectations for the quality of the places to be created and how this can be maintained (such as by following Garden City principles); and ensure that appropriate tools such as masterplans and design guides or codes are used to secure a variety of well-designed homes to meet the needs of different groups in the community; </w:t>
            </w:r>
          </w:p>
          <w:p w14:paraId="6EE1C7B5" w14:textId="77777777" w:rsidR="008668D4" w:rsidRDefault="008668D4" w:rsidP="00E6138D">
            <w:pPr>
              <w:rPr>
                <w:rFonts w:asciiTheme="minorHAnsi" w:hAnsiTheme="minorHAnsi"/>
              </w:rPr>
            </w:pPr>
            <w:r w:rsidRPr="008668D4">
              <w:rPr>
                <w:rFonts w:asciiTheme="minorHAnsi" w:hAnsiTheme="minorHAnsi"/>
              </w:rPr>
              <w:t xml:space="preserve">d) make a realistic assessment of likely rates of delivery, given the lead-in times for large scale sites, and identify opportunities for supporting rapid implementation (such as through joint ventures or locally-led development corporations)38; and </w:t>
            </w:r>
          </w:p>
          <w:p w14:paraId="1540F989" w14:textId="0A4E09FC" w:rsidR="008668D4" w:rsidRPr="00984BD0" w:rsidRDefault="008668D4" w:rsidP="00E6138D">
            <w:pPr>
              <w:rPr>
                <w:rFonts w:asciiTheme="minorHAnsi" w:hAnsiTheme="minorHAnsi"/>
              </w:rPr>
            </w:pPr>
            <w:r w:rsidRPr="008668D4">
              <w:rPr>
                <w:rFonts w:asciiTheme="minorHAnsi" w:hAnsiTheme="minorHAnsi"/>
              </w:rPr>
              <w:t>e) consider whether it is appropriate to establish Green Belt around or adjoining new developments of significant size.</w:t>
            </w:r>
          </w:p>
        </w:tc>
      </w:tr>
      <w:tr w:rsidR="008668D4" w:rsidRPr="00984BD0" w14:paraId="15218A9F" w14:textId="77777777" w:rsidTr="00E6138D">
        <w:tc>
          <w:tcPr>
            <w:tcW w:w="2547" w:type="dxa"/>
          </w:tcPr>
          <w:p w14:paraId="5253431D" w14:textId="77777777" w:rsidR="008668D4" w:rsidRPr="00984BD0" w:rsidRDefault="008668D4" w:rsidP="00E6138D">
            <w:pPr>
              <w:rPr>
                <w:rFonts w:asciiTheme="minorHAnsi" w:hAnsiTheme="minorHAnsi"/>
              </w:rPr>
            </w:pPr>
            <w:r w:rsidRPr="00984BD0">
              <w:rPr>
                <w:rFonts w:asciiTheme="minorHAnsi" w:hAnsiTheme="minorHAnsi"/>
              </w:rPr>
              <w:t>Relevance to Brinklow</w:t>
            </w:r>
          </w:p>
        </w:tc>
        <w:tc>
          <w:tcPr>
            <w:tcW w:w="6469" w:type="dxa"/>
          </w:tcPr>
          <w:p w14:paraId="5F427F7B" w14:textId="538DB7B8" w:rsidR="008668D4" w:rsidRPr="00984BD0" w:rsidRDefault="008668D4" w:rsidP="00E6138D">
            <w:pPr>
              <w:rPr>
                <w:rFonts w:asciiTheme="minorHAnsi" w:hAnsiTheme="minorHAnsi"/>
              </w:rPr>
            </w:pPr>
            <w:r>
              <w:rPr>
                <w:rFonts w:asciiTheme="minorHAnsi" w:hAnsiTheme="minorHAnsi"/>
              </w:rPr>
              <w:t xml:space="preserve">Issues with design of sites 337 and 315 both accesses being the same stretch of Coventry Road. No planned infrastructure and significant infrastructure constraints at Bretford, Green Lane, Heath Lane, Junction with Broad Street. 50% of village residents responding </w:t>
            </w:r>
            <w:r w:rsidR="00051488">
              <w:rPr>
                <w:rFonts w:asciiTheme="minorHAnsi" w:hAnsiTheme="minorHAnsi"/>
              </w:rPr>
              <w:t xml:space="preserve">to </w:t>
            </w:r>
            <w:r>
              <w:rPr>
                <w:rFonts w:asciiTheme="minorHAnsi" w:hAnsiTheme="minorHAnsi"/>
              </w:rPr>
              <w:t xml:space="preserve">S18 consultation </w:t>
            </w:r>
            <w:r w:rsidR="00051488">
              <w:rPr>
                <w:rFonts w:asciiTheme="minorHAnsi" w:hAnsiTheme="minorHAnsi"/>
              </w:rPr>
              <w:t>opposing the plans, clearly shows that the developments are not supported by the local community.</w:t>
            </w:r>
          </w:p>
        </w:tc>
      </w:tr>
      <w:tr w:rsidR="008668D4" w:rsidRPr="00984BD0" w14:paraId="1BFD095E" w14:textId="77777777" w:rsidTr="00E6138D">
        <w:tc>
          <w:tcPr>
            <w:tcW w:w="2547" w:type="dxa"/>
          </w:tcPr>
          <w:p w14:paraId="42CFAFAE" w14:textId="77777777" w:rsidR="008668D4" w:rsidRPr="00984BD0" w:rsidRDefault="008668D4" w:rsidP="00E6138D">
            <w:pPr>
              <w:rPr>
                <w:rFonts w:asciiTheme="minorHAnsi" w:hAnsiTheme="minorHAnsi"/>
              </w:rPr>
            </w:pPr>
            <w:r w:rsidRPr="00984BD0">
              <w:rPr>
                <w:rFonts w:asciiTheme="minorHAnsi" w:hAnsiTheme="minorHAnsi"/>
              </w:rPr>
              <w:t>Theme relevance</w:t>
            </w:r>
          </w:p>
        </w:tc>
        <w:tc>
          <w:tcPr>
            <w:tcW w:w="6469" w:type="dxa"/>
          </w:tcPr>
          <w:p w14:paraId="34938FB6" w14:textId="3AAA0C76" w:rsidR="008668D4" w:rsidRPr="00984BD0" w:rsidRDefault="008668D4" w:rsidP="00E6138D">
            <w:pPr>
              <w:rPr>
                <w:rFonts w:asciiTheme="minorHAnsi" w:hAnsiTheme="minorHAnsi"/>
              </w:rPr>
            </w:pPr>
            <w:r>
              <w:rPr>
                <w:rFonts w:asciiTheme="minorHAnsi" w:hAnsiTheme="minorHAnsi"/>
              </w:rPr>
              <w:t>Scale, travel</w:t>
            </w:r>
          </w:p>
        </w:tc>
      </w:tr>
    </w:tbl>
    <w:p w14:paraId="69F74092" w14:textId="77777777" w:rsidR="00F35E8B" w:rsidRPr="00984BD0" w:rsidRDefault="00F35E8B">
      <w:pPr>
        <w:ind w:firstLine="720"/>
        <w:rPr>
          <w:rFonts w:asciiTheme="minorHAnsi" w:hAnsiTheme="minorHAnsi"/>
        </w:rPr>
      </w:pPr>
    </w:p>
    <w:p w14:paraId="69F74096" w14:textId="0EB88094" w:rsidR="00F35E8B" w:rsidRPr="00051488" w:rsidRDefault="00051488">
      <w:pPr>
        <w:rPr>
          <w:rFonts w:asciiTheme="minorHAnsi" w:hAnsiTheme="minorHAnsi"/>
          <w:b/>
          <w:bCs/>
        </w:rPr>
      </w:pPr>
      <w:r w:rsidRPr="00051488">
        <w:rPr>
          <w:rFonts w:asciiTheme="minorHAnsi" w:hAnsiTheme="minorHAnsi"/>
          <w:b/>
          <w:bCs/>
        </w:rPr>
        <w:t>Paragraph 83</w:t>
      </w:r>
    </w:p>
    <w:tbl>
      <w:tblPr>
        <w:tblStyle w:val="TableGrid"/>
        <w:tblW w:w="0" w:type="auto"/>
        <w:tblLook w:val="04A0" w:firstRow="1" w:lastRow="0" w:firstColumn="1" w:lastColumn="0" w:noHBand="0" w:noVBand="1"/>
      </w:tblPr>
      <w:tblGrid>
        <w:gridCol w:w="2547"/>
        <w:gridCol w:w="6469"/>
      </w:tblGrid>
      <w:tr w:rsidR="00051488" w:rsidRPr="00984BD0" w14:paraId="13B80CFB" w14:textId="77777777" w:rsidTr="00E6138D">
        <w:tc>
          <w:tcPr>
            <w:tcW w:w="2547" w:type="dxa"/>
          </w:tcPr>
          <w:p w14:paraId="6BE64292" w14:textId="77777777" w:rsidR="00051488" w:rsidRPr="00984BD0" w:rsidRDefault="00051488" w:rsidP="00E6138D">
            <w:pPr>
              <w:rPr>
                <w:rFonts w:asciiTheme="minorHAnsi" w:hAnsiTheme="minorHAnsi"/>
              </w:rPr>
            </w:pPr>
            <w:r w:rsidRPr="00984BD0">
              <w:rPr>
                <w:rFonts w:asciiTheme="minorHAnsi" w:hAnsiTheme="minorHAnsi"/>
              </w:rPr>
              <w:t>Text from NPPF</w:t>
            </w:r>
          </w:p>
        </w:tc>
        <w:tc>
          <w:tcPr>
            <w:tcW w:w="6469" w:type="dxa"/>
          </w:tcPr>
          <w:p w14:paraId="5814095D" w14:textId="5CABA06B" w:rsidR="00051488" w:rsidRPr="00984BD0" w:rsidRDefault="00051488" w:rsidP="00E6138D">
            <w:pPr>
              <w:rPr>
                <w:rFonts w:asciiTheme="minorHAnsi" w:hAnsiTheme="minorHAnsi"/>
              </w:rPr>
            </w:pPr>
            <w:r w:rsidRPr="00051488">
              <w:rPr>
                <w:rFonts w:asciiTheme="minorHAnsi" w:hAnsiTheme="minorHAnsi"/>
              </w:rPr>
              <w:t xml:space="preserve">To promote sustainable development in rural areas, housing should be located where it will enhance or maintain the vitality of rural communities. Planning policies should identify opportunities for villages to grow and thrive, especially where this will support local services. Where there are groups of smaller settlements, </w:t>
            </w:r>
            <w:r w:rsidRPr="00051488">
              <w:rPr>
                <w:rFonts w:asciiTheme="minorHAnsi" w:hAnsiTheme="minorHAnsi"/>
              </w:rPr>
              <w:lastRenderedPageBreak/>
              <w:t>development in one village may support services in a village nearby</w:t>
            </w:r>
          </w:p>
        </w:tc>
      </w:tr>
      <w:tr w:rsidR="00051488" w:rsidRPr="00984BD0" w14:paraId="4983A044" w14:textId="77777777" w:rsidTr="00E6138D">
        <w:tc>
          <w:tcPr>
            <w:tcW w:w="2547" w:type="dxa"/>
          </w:tcPr>
          <w:p w14:paraId="16D6A4A5" w14:textId="77777777" w:rsidR="00051488" w:rsidRPr="00984BD0" w:rsidRDefault="00051488" w:rsidP="00E6138D">
            <w:pPr>
              <w:rPr>
                <w:rFonts w:asciiTheme="minorHAnsi" w:hAnsiTheme="minorHAnsi"/>
              </w:rPr>
            </w:pPr>
            <w:r w:rsidRPr="00984BD0">
              <w:rPr>
                <w:rFonts w:asciiTheme="minorHAnsi" w:hAnsiTheme="minorHAnsi"/>
              </w:rPr>
              <w:lastRenderedPageBreak/>
              <w:t>Relevance to Brinklow</w:t>
            </w:r>
          </w:p>
        </w:tc>
        <w:tc>
          <w:tcPr>
            <w:tcW w:w="6469" w:type="dxa"/>
          </w:tcPr>
          <w:p w14:paraId="43770EE8" w14:textId="738323F8" w:rsidR="00051488" w:rsidRPr="00984BD0" w:rsidRDefault="00051488" w:rsidP="00E6138D">
            <w:pPr>
              <w:rPr>
                <w:rFonts w:asciiTheme="minorHAnsi" w:hAnsiTheme="minorHAnsi"/>
              </w:rPr>
            </w:pPr>
            <w:r w:rsidRPr="00984BD0">
              <w:rPr>
                <w:rFonts w:asciiTheme="minorHAnsi" w:hAnsiTheme="minorHAnsi"/>
              </w:rPr>
              <w:t>An 80% expansion risks overwhelming local services rather than supporting them — especially where growth far exceeds local need.</w:t>
            </w:r>
          </w:p>
        </w:tc>
      </w:tr>
      <w:tr w:rsidR="00051488" w:rsidRPr="00984BD0" w14:paraId="2A05F279" w14:textId="77777777" w:rsidTr="00E6138D">
        <w:tc>
          <w:tcPr>
            <w:tcW w:w="2547" w:type="dxa"/>
          </w:tcPr>
          <w:p w14:paraId="59A81D34" w14:textId="77777777" w:rsidR="00051488" w:rsidRPr="00984BD0" w:rsidRDefault="00051488" w:rsidP="00E6138D">
            <w:pPr>
              <w:rPr>
                <w:rFonts w:asciiTheme="minorHAnsi" w:hAnsiTheme="minorHAnsi"/>
              </w:rPr>
            </w:pPr>
            <w:r w:rsidRPr="00984BD0">
              <w:rPr>
                <w:rFonts w:asciiTheme="minorHAnsi" w:hAnsiTheme="minorHAnsi"/>
              </w:rPr>
              <w:t>Theme relevance</w:t>
            </w:r>
          </w:p>
        </w:tc>
        <w:tc>
          <w:tcPr>
            <w:tcW w:w="6469" w:type="dxa"/>
          </w:tcPr>
          <w:p w14:paraId="21753F31" w14:textId="54E22F4B" w:rsidR="00051488" w:rsidRPr="00984BD0" w:rsidRDefault="00051488" w:rsidP="00E6138D">
            <w:pPr>
              <w:rPr>
                <w:rFonts w:asciiTheme="minorHAnsi" w:hAnsiTheme="minorHAnsi"/>
              </w:rPr>
            </w:pPr>
            <w:r>
              <w:rPr>
                <w:rFonts w:asciiTheme="minorHAnsi" w:hAnsiTheme="minorHAnsi"/>
              </w:rPr>
              <w:t>Heath, Schools, Scale</w:t>
            </w:r>
          </w:p>
        </w:tc>
      </w:tr>
    </w:tbl>
    <w:p w14:paraId="69F74097" w14:textId="77777777" w:rsidR="00F35E8B" w:rsidRPr="00984BD0" w:rsidRDefault="00F35E8B">
      <w:pPr>
        <w:rPr>
          <w:rFonts w:asciiTheme="minorHAnsi" w:hAnsiTheme="minorHAnsi"/>
        </w:rPr>
      </w:pPr>
    </w:p>
    <w:p w14:paraId="69F740A0" w14:textId="05B602BF" w:rsidR="00F35E8B" w:rsidRPr="00051488" w:rsidRDefault="00051488">
      <w:pPr>
        <w:rPr>
          <w:rFonts w:asciiTheme="minorHAnsi" w:hAnsiTheme="minorHAnsi"/>
          <w:b/>
          <w:bCs/>
        </w:rPr>
      </w:pPr>
      <w:r w:rsidRPr="00051488">
        <w:rPr>
          <w:rFonts w:asciiTheme="minorHAnsi" w:hAnsiTheme="minorHAnsi"/>
          <w:b/>
          <w:bCs/>
        </w:rPr>
        <w:t>Paragraph 100</w:t>
      </w:r>
    </w:p>
    <w:tbl>
      <w:tblPr>
        <w:tblStyle w:val="TableGrid"/>
        <w:tblW w:w="0" w:type="auto"/>
        <w:tblLook w:val="04A0" w:firstRow="1" w:lastRow="0" w:firstColumn="1" w:lastColumn="0" w:noHBand="0" w:noVBand="1"/>
      </w:tblPr>
      <w:tblGrid>
        <w:gridCol w:w="2547"/>
        <w:gridCol w:w="6469"/>
      </w:tblGrid>
      <w:tr w:rsidR="00051488" w:rsidRPr="00984BD0" w14:paraId="2376510E" w14:textId="77777777" w:rsidTr="00E6138D">
        <w:tc>
          <w:tcPr>
            <w:tcW w:w="2547" w:type="dxa"/>
          </w:tcPr>
          <w:p w14:paraId="048B4DF3" w14:textId="77777777" w:rsidR="00051488" w:rsidRPr="00984BD0" w:rsidRDefault="00051488" w:rsidP="00E6138D">
            <w:pPr>
              <w:rPr>
                <w:rFonts w:asciiTheme="minorHAnsi" w:hAnsiTheme="minorHAnsi"/>
              </w:rPr>
            </w:pPr>
            <w:r w:rsidRPr="00984BD0">
              <w:rPr>
                <w:rFonts w:asciiTheme="minorHAnsi" w:hAnsiTheme="minorHAnsi"/>
              </w:rPr>
              <w:t>Text from NPPF</w:t>
            </w:r>
          </w:p>
        </w:tc>
        <w:tc>
          <w:tcPr>
            <w:tcW w:w="6469" w:type="dxa"/>
          </w:tcPr>
          <w:p w14:paraId="753DAEAA" w14:textId="77777777" w:rsidR="00051488" w:rsidRDefault="00051488" w:rsidP="00E6138D">
            <w:pPr>
              <w:rPr>
                <w:rFonts w:asciiTheme="minorHAnsi" w:hAnsiTheme="minorHAnsi"/>
              </w:rPr>
            </w:pPr>
            <w:r w:rsidRPr="00051488">
              <w:rPr>
                <w:rFonts w:asciiTheme="minorHAnsi" w:hAnsiTheme="minorHAnsi"/>
              </w:rPr>
              <w:t xml:space="preserve">It is important that a sufficient choice of early years, school and post-16 places are available to meet the needs of existing and new communities. Local planning authorities should take a proactive, positive and collaborative approach to meeting this requirement, and to development that will widen choice in education. They should: </w:t>
            </w:r>
          </w:p>
          <w:p w14:paraId="12F1D0FD" w14:textId="77777777" w:rsidR="00051488" w:rsidRDefault="00051488" w:rsidP="00E6138D">
            <w:pPr>
              <w:rPr>
                <w:rFonts w:asciiTheme="minorHAnsi" w:hAnsiTheme="minorHAnsi"/>
              </w:rPr>
            </w:pPr>
            <w:r w:rsidRPr="00051488">
              <w:rPr>
                <w:rFonts w:asciiTheme="minorHAnsi" w:hAnsiTheme="minorHAnsi"/>
              </w:rPr>
              <w:t xml:space="preserve">a) give great weight to the need to create, expand or alter early years, schools and post-16 facilities through the preparation of plans and decisions on applications; and </w:t>
            </w:r>
          </w:p>
          <w:p w14:paraId="6F3A1CF8" w14:textId="5A6294C3" w:rsidR="00051488" w:rsidRPr="00984BD0" w:rsidRDefault="00051488" w:rsidP="00E6138D">
            <w:pPr>
              <w:rPr>
                <w:rFonts w:asciiTheme="minorHAnsi" w:hAnsiTheme="minorHAnsi"/>
              </w:rPr>
            </w:pPr>
            <w:r w:rsidRPr="00051488">
              <w:rPr>
                <w:rFonts w:asciiTheme="minorHAnsi" w:hAnsiTheme="minorHAnsi"/>
              </w:rPr>
              <w:t>b) work with early years, school and post-16 promoters, delivery partners and statutory bodies to identify and resolve key planning issues before applications are submitted</w:t>
            </w:r>
          </w:p>
        </w:tc>
      </w:tr>
      <w:tr w:rsidR="00051488" w:rsidRPr="00984BD0" w14:paraId="32F4C6C8" w14:textId="77777777" w:rsidTr="00E6138D">
        <w:tc>
          <w:tcPr>
            <w:tcW w:w="2547" w:type="dxa"/>
          </w:tcPr>
          <w:p w14:paraId="0D103C6A" w14:textId="77777777" w:rsidR="00051488" w:rsidRPr="00984BD0" w:rsidRDefault="00051488" w:rsidP="00E6138D">
            <w:pPr>
              <w:rPr>
                <w:rFonts w:asciiTheme="minorHAnsi" w:hAnsiTheme="minorHAnsi"/>
              </w:rPr>
            </w:pPr>
            <w:r w:rsidRPr="00984BD0">
              <w:rPr>
                <w:rFonts w:asciiTheme="minorHAnsi" w:hAnsiTheme="minorHAnsi"/>
              </w:rPr>
              <w:t>Relevance to Brinklow</w:t>
            </w:r>
          </w:p>
        </w:tc>
        <w:tc>
          <w:tcPr>
            <w:tcW w:w="6469" w:type="dxa"/>
          </w:tcPr>
          <w:p w14:paraId="42EA5612" w14:textId="7B0D9C9E" w:rsidR="00051488" w:rsidRPr="00984BD0" w:rsidRDefault="00051488" w:rsidP="00E6138D">
            <w:pPr>
              <w:rPr>
                <w:rFonts w:asciiTheme="minorHAnsi" w:hAnsiTheme="minorHAnsi"/>
              </w:rPr>
            </w:pPr>
            <w:r>
              <w:rPr>
                <w:rFonts w:asciiTheme="minorHAnsi" w:hAnsiTheme="minorHAnsi"/>
              </w:rPr>
              <w:t xml:space="preserve">No school in Brinklow means that every child will have to either access education by car, or if attending their nearest school via publicly funded school transport. This limits choice, particularly for families on low incomes and working families who don’t have the luxury of driving their children to their chosen school every day. </w:t>
            </w:r>
          </w:p>
        </w:tc>
      </w:tr>
      <w:tr w:rsidR="00051488" w:rsidRPr="00984BD0" w14:paraId="4EB4EDD6" w14:textId="77777777" w:rsidTr="00E6138D">
        <w:tc>
          <w:tcPr>
            <w:tcW w:w="2547" w:type="dxa"/>
          </w:tcPr>
          <w:p w14:paraId="737AC31D" w14:textId="77777777" w:rsidR="00051488" w:rsidRPr="00984BD0" w:rsidRDefault="00051488" w:rsidP="00E6138D">
            <w:pPr>
              <w:rPr>
                <w:rFonts w:asciiTheme="minorHAnsi" w:hAnsiTheme="minorHAnsi"/>
              </w:rPr>
            </w:pPr>
            <w:r w:rsidRPr="00984BD0">
              <w:rPr>
                <w:rFonts w:asciiTheme="minorHAnsi" w:hAnsiTheme="minorHAnsi"/>
              </w:rPr>
              <w:t>Theme relevance</w:t>
            </w:r>
          </w:p>
        </w:tc>
        <w:tc>
          <w:tcPr>
            <w:tcW w:w="6469" w:type="dxa"/>
          </w:tcPr>
          <w:p w14:paraId="479C3548" w14:textId="6D42E244" w:rsidR="00051488" w:rsidRPr="00984BD0" w:rsidRDefault="00051488" w:rsidP="00E6138D">
            <w:pPr>
              <w:rPr>
                <w:rFonts w:asciiTheme="minorHAnsi" w:hAnsiTheme="minorHAnsi"/>
              </w:rPr>
            </w:pPr>
            <w:r>
              <w:rPr>
                <w:rFonts w:asciiTheme="minorHAnsi" w:hAnsiTheme="minorHAnsi"/>
              </w:rPr>
              <w:t>Schools</w:t>
            </w:r>
          </w:p>
        </w:tc>
      </w:tr>
    </w:tbl>
    <w:p w14:paraId="69F740A4" w14:textId="77777777" w:rsidR="00F35E8B" w:rsidRDefault="00F35E8B">
      <w:pPr>
        <w:rPr>
          <w:rFonts w:asciiTheme="minorHAnsi" w:hAnsiTheme="minorHAnsi"/>
        </w:rPr>
      </w:pPr>
    </w:p>
    <w:p w14:paraId="28BB1ED4" w14:textId="7F8D473C" w:rsidR="00051488" w:rsidRPr="00051488" w:rsidRDefault="00051488">
      <w:pPr>
        <w:rPr>
          <w:rFonts w:asciiTheme="minorHAnsi" w:hAnsiTheme="minorHAnsi"/>
          <w:b/>
          <w:bCs/>
        </w:rPr>
      </w:pPr>
      <w:r w:rsidRPr="00051488">
        <w:rPr>
          <w:rFonts w:asciiTheme="minorHAnsi" w:hAnsiTheme="minorHAnsi"/>
          <w:b/>
          <w:bCs/>
        </w:rPr>
        <w:t>Paragraph 110</w:t>
      </w:r>
    </w:p>
    <w:tbl>
      <w:tblPr>
        <w:tblStyle w:val="TableGrid"/>
        <w:tblW w:w="0" w:type="auto"/>
        <w:tblLook w:val="04A0" w:firstRow="1" w:lastRow="0" w:firstColumn="1" w:lastColumn="0" w:noHBand="0" w:noVBand="1"/>
      </w:tblPr>
      <w:tblGrid>
        <w:gridCol w:w="2547"/>
        <w:gridCol w:w="6469"/>
      </w:tblGrid>
      <w:tr w:rsidR="00051488" w:rsidRPr="00984BD0" w14:paraId="1D010641" w14:textId="77777777" w:rsidTr="00E6138D">
        <w:tc>
          <w:tcPr>
            <w:tcW w:w="2547" w:type="dxa"/>
          </w:tcPr>
          <w:p w14:paraId="492D0411" w14:textId="77777777" w:rsidR="00051488" w:rsidRPr="00984BD0" w:rsidRDefault="00051488" w:rsidP="00E6138D">
            <w:pPr>
              <w:rPr>
                <w:rFonts w:asciiTheme="minorHAnsi" w:hAnsiTheme="minorHAnsi"/>
              </w:rPr>
            </w:pPr>
            <w:r w:rsidRPr="00984BD0">
              <w:rPr>
                <w:rFonts w:asciiTheme="minorHAnsi" w:hAnsiTheme="minorHAnsi"/>
              </w:rPr>
              <w:t>Text from NPPF</w:t>
            </w:r>
          </w:p>
        </w:tc>
        <w:tc>
          <w:tcPr>
            <w:tcW w:w="6469" w:type="dxa"/>
          </w:tcPr>
          <w:p w14:paraId="37F71583" w14:textId="085B7A37" w:rsidR="00051488" w:rsidRPr="00984BD0" w:rsidRDefault="00051488" w:rsidP="00E6138D">
            <w:pPr>
              <w:rPr>
                <w:rFonts w:asciiTheme="minorHAnsi" w:hAnsiTheme="minorHAnsi"/>
              </w:rPr>
            </w:pPr>
            <w:r w:rsidRPr="00051488">
              <w:rPr>
                <w:rFonts w:asciiTheme="minorHAnsi" w:hAnsiTheme="minorHAnsi"/>
              </w:rPr>
              <w:t>The planning system should actively manage patterns of growth in support of these objectives. Significant development should be focused on locations which are or can be made sustainable, through limiting the need to travel and offering a genuine choice of transport modes. This can help to reduce congestion and emissions, and improve air quality and public health. However, opportunities to maximise sustainable transport solutions will vary between urban and rural areas, and this should be taken into account in both plan-making and decision-making</w:t>
            </w:r>
          </w:p>
        </w:tc>
      </w:tr>
      <w:tr w:rsidR="00051488" w:rsidRPr="00984BD0" w14:paraId="0BD5FDBC" w14:textId="77777777" w:rsidTr="00E6138D">
        <w:tc>
          <w:tcPr>
            <w:tcW w:w="2547" w:type="dxa"/>
          </w:tcPr>
          <w:p w14:paraId="4B599FEA" w14:textId="77777777" w:rsidR="00051488" w:rsidRPr="00984BD0" w:rsidRDefault="00051488" w:rsidP="00E6138D">
            <w:pPr>
              <w:rPr>
                <w:rFonts w:asciiTheme="minorHAnsi" w:hAnsiTheme="minorHAnsi"/>
              </w:rPr>
            </w:pPr>
            <w:r w:rsidRPr="00984BD0">
              <w:rPr>
                <w:rFonts w:asciiTheme="minorHAnsi" w:hAnsiTheme="minorHAnsi"/>
              </w:rPr>
              <w:t>Relevance to Brinklow</w:t>
            </w:r>
          </w:p>
        </w:tc>
        <w:tc>
          <w:tcPr>
            <w:tcW w:w="6469" w:type="dxa"/>
          </w:tcPr>
          <w:p w14:paraId="4858A59B" w14:textId="2EDA0EA9" w:rsidR="00051488" w:rsidRPr="00984BD0" w:rsidRDefault="00051488" w:rsidP="00E6138D">
            <w:pPr>
              <w:rPr>
                <w:rFonts w:asciiTheme="minorHAnsi" w:hAnsiTheme="minorHAnsi"/>
              </w:rPr>
            </w:pPr>
            <w:r>
              <w:rPr>
                <w:rFonts w:asciiTheme="minorHAnsi" w:hAnsiTheme="minorHAnsi"/>
              </w:rPr>
              <w:t>Car ownership is essential in Brinklow due to the rural local and limited public transport choice. There isn’t a genuine choice of transport as there are no active travel options in the village. All surrounding roads are unlit with very few, if any pavements. The location can’t be made more sustainable by adding houses due to the over 3 mile distance to the next nearest village.</w:t>
            </w:r>
          </w:p>
        </w:tc>
      </w:tr>
      <w:tr w:rsidR="00051488" w:rsidRPr="00984BD0" w14:paraId="05300146" w14:textId="77777777" w:rsidTr="00E6138D">
        <w:tc>
          <w:tcPr>
            <w:tcW w:w="2547" w:type="dxa"/>
          </w:tcPr>
          <w:p w14:paraId="2B73C148" w14:textId="77777777" w:rsidR="00051488" w:rsidRPr="00984BD0" w:rsidRDefault="00051488" w:rsidP="00E6138D">
            <w:pPr>
              <w:rPr>
                <w:rFonts w:asciiTheme="minorHAnsi" w:hAnsiTheme="minorHAnsi"/>
              </w:rPr>
            </w:pPr>
            <w:r w:rsidRPr="00984BD0">
              <w:rPr>
                <w:rFonts w:asciiTheme="minorHAnsi" w:hAnsiTheme="minorHAnsi"/>
              </w:rPr>
              <w:t>Theme relevance</w:t>
            </w:r>
          </w:p>
        </w:tc>
        <w:tc>
          <w:tcPr>
            <w:tcW w:w="6469" w:type="dxa"/>
          </w:tcPr>
          <w:p w14:paraId="12CAB28A" w14:textId="483924C4" w:rsidR="00051488" w:rsidRPr="00984BD0" w:rsidRDefault="00051488" w:rsidP="00E6138D">
            <w:pPr>
              <w:rPr>
                <w:rFonts w:asciiTheme="minorHAnsi" w:hAnsiTheme="minorHAnsi"/>
              </w:rPr>
            </w:pPr>
            <w:r>
              <w:rPr>
                <w:rFonts w:asciiTheme="minorHAnsi" w:hAnsiTheme="minorHAnsi"/>
              </w:rPr>
              <w:t>Travel</w:t>
            </w:r>
          </w:p>
        </w:tc>
      </w:tr>
    </w:tbl>
    <w:p w14:paraId="186F5F32" w14:textId="77777777" w:rsidR="00051488" w:rsidRDefault="00051488">
      <w:pPr>
        <w:rPr>
          <w:rFonts w:asciiTheme="minorHAnsi" w:hAnsiTheme="minorHAnsi"/>
        </w:rPr>
      </w:pPr>
    </w:p>
    <w:p w14:paraId="5619B56A" w14:textId="77777777" w:rsidR="00051488" w:rsidRDefault="00051488">
      <w:pPr>
        <w:rPr>
          <w:rFonts w:asciiTheme="minorHAnsi" w:hAnsiTheme="minorHAnsi"/>
        </w:rPr>
      </w:pPr>
    </w:p>
    <w:p w14:paraId="1A25291A" w14:textId="2802AD83" w:rsidR="00051488" w:rsidRPr="00051488" w:rsidRDefault="00051488">
      <w:pPr>
        <w:rPr>
          <w:rFonts w:asciiTheme="minorHAnsi" w:hAnsiTheme="minorHAnsi"/>
          <w:b/>
          <w:bCs/>
        </w:rPr>
      </w:pPr>
      <w:r w:rsidRPr="00051488">
        <w:rPr>
          <w:rFonts w:asciiTheme="minorHAnsi" w:hAnsiTheme="minorHAnsi"/>
          <w:b/>
          <w:bCs/>
        </w:rPr>
        <w:lastRenderedPageBreak/>
        <w:t>Paragraph 145</w:t>
      </w:r>
    </w:p>
    <w:tbl>
      <w:tblPr>
        <w:tblStyle w:val="TableGrid"/>
        <w:tblW w:w="0" w:type="auto"/>
        <w:tblLook w:val="04A0" w:firstRow="1" w:lastRow="0" w:firstColumn="1" w:lastColumn="0" w:noHBand="0" w:noVBand="1"/>
      </w:tblPr>
      <w:tblGrid>
        <w:gridCol w:w="2547"/>
        <w:gridCol w:w="6469"/>
      </w:tblGrid>
      <w:tr w:rsidR="00051488" w:rsidRPr="00984BD0" w14:paraId="4E1559A0" w14:textId="77777777" w:rsidTr="00E6138D">
        <w:tc>
          <w:tcPr>
            <w:tcW w:w="2547" w:type="dxa"/>
          </w:tcPr>
          <w:p w14:paraId="06A8D3FD" w14:textId="483D6384" w:rsidR="00051488" w:rsidRPr="00984BD0" w:rsidRDefault="00051488" w:rsidP="00E6138D">
            <w:pPr>
              <w:rPr>
                <w:rFonts w:asciiTheme="minorHAnsi" w:hAnsiTheme="minorHAnsi"/>
              </w:rPr>
            </w:pPr>
            <w:r w:rsidRPr="00984BD0">
              <w:rPr>
                <w:rFonts w:asciiTheme="minorHAnsi" w:hAnsiTheme="minorHAnsi"/>
              </w:rPr>
              <w:t>Text from NPPF</w:t>
            </w:r>
          </w:p>
        </w:tc>
        <w:tc>
          <w:tcPr>
            <w:tcW w:w="6469" w:type="dxa"/>
          </w:tcPr>
          <w:p w14:paraId="15D95818" w14:textId="6B537CA5" w:rsidR="00051488" w:rsidRPr="00984BD0" w:rsidRDefault="00867C13" w:rsidP="00E6138D">
            <w:pPr>
              <w:rPr>
                <w:rFonts w:asciiTheme="minorHAnsi" w:hAnsiTheme="minorHAnsi"/>
              </w:rPr>
            </w:pPr>
            <w:r w:rsidRPr="00867C13">
              <w:rPr>
                <w:rFonts w:asciiTheme="minorHAnsi" w:hAnsiTheme="minorHAnsi"/>
              </w:rPr>
              <w:t>Once established, Green Belt boundaries should only be altered where exceptional circumstances are fully evidenced and justified through the preparation or updating of plans. Strategic policies should establish the need for any changes to Green Belt boundaries, having regard to their intended permanence in the long term, so they can endure beyond the plan period. Where a need for changes to Green Belt boundaries has been established through strategic policies, detailed amendments to those boundaries may be made through non-strategic policies, including neighbourhood plans.</w:t>
            </w:r>
          </w:p>
        </w:tc>
      </w:tr>
      <w:tr w:rsidR="00051488" w:rsidRPr="00984BD0" w14:paraId="36563A92" w14:textId="77777777" w:rsidTr="00E6138D">
        <w:tc>
          <w:tcPr>
            <w:tcW w:w="2547" w:type="dxa"/>
          </w:tcPr>
          <w:p w14:paraId="241C1EDA" w14:textId="77777777" w:rsidR="00051488" w:rsidRPr="00984BD0" w:rsidRDefault="00051488" w:rsidP="00E6138D">
            <w:pPr>
              <w:rPr>
                <w:rFonts w:asciiTheme="minorHAnsi" w:hAnsiTheme="minorHAnsi"/>
              </w:rPr>
            </w:pPr>
            <w:r w:rsidRPr="00984BD0">
              <w:rPr>
                <w:rFonts w:asciiTheme="minorHAnsi" w:hAnsiTheme="minorHAnsi"/>
              </w:rPr>
              <w:t>Relevance to Brinklow</w:t>
            </w:r>
          </w:p>
        </w:tc>
        <w:tc>
          <w:tcPr>
            <w:tcW w:w="6469" w:type="dxa"/>
          </w:tcPr>
          <w:p w14:paraId="65D84EDC" w14:textId="7A767D80" w:rsidR="00051488" w:rsidRPr="00984BD0" w:rsidRDefault="00867C13" w:rsidP="00E6138D">
            <w:pPr>
              <w:rPr>
                <w:rFonts w:asciiTheme="minorHAnsi" w:hAnsiTheme="minorHAnsi"/>
              </w:rPr>
            </w:pPr>
            <w:r>
              <w:rPr>
                <w:rFonts w:asciiTheme="minorHAnsi" w:hAnsiTheme="minorHAnsi"/>
              </w:rPr>
              <w:t>Exceptional circumstances have not been fully evidenced and justified. Following the S18 consultation being concluded and a reduced house supply being required and additional brownfield sites identified in Rugby, RBC didn’t chose to first take out all of the Green Belt sites, instead it made different choices to remove sites in non-Green Belt locations. These decisions have not been fully evidenced and do not result in a justification for building on Green Belt land.</w:t>
            </w:r>
          </w:p>
        </w:tc>
      </w:tr>
      <w:tr w:rsidR="00051488" w:rsidRPr="00984BD0" w14:paraId="5A77FD4D" w14:textId="77777777" w:rsidTr="00E6138D">
        <w:tc>
          <w:tcPr>
            <w:tcW w:w="2547" w:type="dxa"/>
          </w:tcPr>
          <w:p w14:paraId="2511B50E" w14:textId="77777777" w:rsidR="00051488" w:rsidRPr="00984BD0" w:rsidRDefault="00051488" w:rsidP="00E6138D">
            <w:pPr>
              <w:rPr>
                <w:rFonts w:asciiTheme="minorHAnsi" w:hAnsiTheme="minorHAnsi"/>
              </w:rPr>
            </w:pPr>
            <w:r w:rsidRPr="00984BD0">
              <w:rPr>
                <w:rFonts w:asciiTheme="minorHAnsi" w:hAnsiTheme="minorHAnsi"/>
              </w:rPr>
              <w:t>Theme relevance</w:t>
            </w:r>
          </w:p>
        </w:tc>
        <w:tc>
          <w:tcPr>
            <w:tcW w:w="6469" w:type="dxa"/>
          </w:tcPr>
          <w:p w14:paraId="335B8E89" w14:textId="136D242F" w:rsidR="00051488" w:rsidRPr="00984BD0" w:rsidRDefault="00867C13" w:rsidP="00E6138D">
            <w:pPr>
              <w:rPr>
                <w:rFonts w:asciiTheme="minorHAnsi" w:hAnsiTheme="minorHAnsi"/>
              </w:rPr>
            </w:pPr>
            <w:r>
              <w:rPr>
                <w:rFonts w:asciiTheme="minorHAnsi" w:hAnsiTheme="minorHAnsi"/>
              </w:rPr>
              <w:t>Landscape, Green Belt, Scale</w:t>
            </w:r>
          </w:p>
        </w:tc>
      </w:tr>
    </w:tbl>
    <w:p w14:paraId="582B920A" w14:textId="77777777" w:rsidR="00051488" w:rsidRPr="00984BD0" w:rsidRDefault="00051488">
      <w:pPr>
        <w:rPr>
          <w:rFonts w:asciiTheme="minorHAnsi" w:hAnsiTheme="minorHAnsi"/>
        </w:rPr>
      </w:pPr>
    </w:p>
    <w:p w14:paraId="0FB03DEF" w14:textId="77777777" w:rsidR="00867C13" w:rsidRDefault="00FD6D63" w:rsidP="00FD6D63">
      <w:pPr>
        <w:rPr>
          <w:rFonts w:asciiTheme="minorHAnsi" w:hAnsiTheme="minorHAnsi"/>
        </w:rPr>
      </w:pPr>
      <w:r w:rsidRPr="00984BD0">
        <w:rPr>
          <w:rFonts w:asciiTheme="minorHAnsi" w:hAnsiTheme="minorHAnsi"/>
          <w:b/>
          <w:bCs/>
        </w:rPr>
        <w:t>Paragraph 187</w:t>
      </w:r>
      <w:r w:rsidRPr="00984BD0">
        <w:rPr>
          <w:rFonts w:asciiTheme="minorHAnsi" w:hAnsiTheme="minorHAnsi"/>
        </w:rPr>
        <w:t xml:space="preserve"> </w:t>
      </w:r>
    </w:p>
    <w:tbl>
      <w:tblPr>
        <w:tblStyle w:val="TableGrid"/>
        <w:tblW w:w="0" w:type="auto"/>
        <w:tblLook w:val="04A0" w:firstRow="1" w:lastRow="0" w:firstColumn="1" w:lastColumn="0" w:noHBand="0" w:noVBand="1"/>
      </w:tblPr>
      <w:tblGrid>
        <w:gridCol w:w="2547"/>
        <w:gridCol w:w="6469"/>
      </w:tblGrid>
      <w:tr w:rsidR="008C65F5" w:rsidRPr="00984BD0" w14:paraId="704168B6" w14:textId="77777777" w:rsidTr="00E6138D">
        <w:tc>
          <w:tcPr>
            <w:tcW w:w="2547" w:type="dxa"/>
          </w:tcPr>
          <w:p w14:paraId="118FF89C" w14:textId="77777777" w:rsidR="008C65F5" w:rsidRPr="00984BD0" w:rsidRDefault="008C65F5" w:rsidP="00E6138D">
            <w:pPr>
              <w:rPr>
                <w:rFonts w:asciiTheme="minorHAnsi" w:hAnsiTheme="minorHAnsi"/>
              </w:rPr>
            </w:pPr>
            <w:r w:rsidRPr="00984BD0">
              <w:rPr>
                <w:rFonts w:asciiTheme="minorHAnsi" w:hAnsiTheme="minorHAnsi"/>
              </w:rPr>
              <w:t>Text from NPPF</w:t>
            </w:r>
          </w:p>
        </w:tc>
        <w:tc>
          <w:tcPr>
            <w:tcW w:w="6469" w:type="dxa"/>
          </w:tcPr>
          <w:p w14:paraId="73A47092" w14:textId="77777777" w:rsidR="008C65F5" w:rsidRDefault="008C65F5" w:rsidP="00E6138D">
            <w:pPr>
              <w:rPr>
                <w:rFonts w:asciiTheme="minorHAnsi" w:hAnsiTheme="minorHAnsi"/>
              </w:rPr>
            </w:pPr>
            <w:r w:rsidRPr="008C65F5">
              <w:rPr>
                <w:rFonts w:asciiTheme="minorHAnsi" w:hAnsiTheme="minorHAnsi"/>
              </w:rPr>
              <w:t xml:space="preserve">Planning policies and decisions should contribute to and enhance the natural and local environment by: </w:t>
            </w:r>
          </w:p>
          <w:p w14:paraId="66475107" w14:textId="77777777" w:rsidR="008C65F5" w:rsidRDefault="008C65F5" w:rsidP="00E6138D">
            <w:pPr>
              <w:rPr>
                <w:rFonts w:asciiTheme="minorHAnsi" w:hAnsiTheme="minorHAnsi"/>
              </w:rPr>
            </w:pPr>
            <w:r w:rsidRPr="008C65F5">
              <w:rPr>
                <w:rFonts w:asciiTheme="minorHAnsi" w:hAnsiTheme="minorHAnsi"/>
              </w:rPr>
              <w:t xml:space="preserve">a) protecting and enhancing valued landscapes, sites of biodiversity or geological value and soils (in a manner commensurate with their statutory status or identified quality in the development plan); </w:t>
            </w:r>
          </w:p>
          <w:p w14:paraId="66A11F89" w14:textId="77777777" w:rsidR="008C65F5" w:rsidRDefault="008C65F5" w:rsidP="00E6138D">
            <w:pPr>
              <w:rPr>
                <w:rFonts w:asciiTheme="minorHAnsi" w:hAnsiTheme="minorHAnsi"/>
              </w:rPr>
            </w:pPr>
            <w:r w:rsidRPr="008C65F5">
              <w:rPr>
                <w:rFonts w:asciiTheme="minorHAnsi" w:hAnsiTheme="minorHAnsi"/>
              </w:rPr>
              <w:t xml:space="preserve">b) recognising the intrinsic character and beauty of the countryside, and the wider benefits from natural capital and ecosystem services – including the economic and other benefits of the best and most versatile agricultural land, and of trees and woodland; </w:t>
            </w:r>
          </w:p>
          <w:p w14:paraId="14EC1C63" w14:textId="77777777" w:rsidR="008C65F5" w:rsidRDefault="008C65F5" w:rsidP="00E6138D">
            <w:pPr>
              <w:rPr>
                <w:rFonts w:asciiTheme="minorHAnsi" w:hAnsiTheme="minorHAnsi"/>
              </w:rPr>
            </w:pPr>
            <w:r w:rsidRPr="008C65F5">
              <w:rPr>
                <w:rFonts w:asciiTheme="minorHAnsi" w:hAnsiTheme="minorHAnsi"/>
              </w:rPr>
              <w:t xml:space="preserve">c) maintaining the character of the undeveloped coast, while improving public access to it where appropriate; </w:t>
            </w:r>
          </w:p>
          <w:p w14:paraId="30A17243" w14:textId="77777777" w:rsidR="008C65F5" w:rsidRDefault="008C65F5" w:rsidP="00E6138D">
            <w:pPr>
              <w:rPr>
                <w:rFonts w:asciiTheme="minorHAnsi" w:hAnsiTheme="minorHAnsi"/>
              </w:rPr>
            </w:pPr>
            <w:r w:rsidRPr="008C65F5">
              <w:rPr>
                <w:rFonts w:asciiTheme="minorHAnsi" w:hAnsiTheme="minorHAnsi"/>
              </w:rPr>
              <w:t xml:space="preserve">d) minimising impacts on and providing net gains for biodiversity, including by establishing coherent ecological networks that are more resilient to current and future pressures and incorporating features which support priority or threatened species such as swifts, bats and hedgehogs; </w:t>
            </w:r>
          </w:p>
          <w:p w14:paraId="43A80939" w14:textId="77777777" w:rsidR="008C65F5" w:rsidRDefault="008C65F5" w:rsidP="00E6138D">
            <w:pPr>
              <w:rPr>
                <w:rFonts w:asciiTheme="minorHAnsi" w:hAnsiTheme="minorHAnsi"/>
              </w:rPr>
            </w:pPr>
            <w:r w:rsidRPr="008C65F5">
              <w:rPr>
                <w:rFonts w:asciiTheme="minorHAnsi" w:hAnsiTheme="minorHAnsi"/>
              </w:rPr>
              <w:t xml:space="preserve">e) preventing new and existing development from contributing to, being put at unacceptable risk from, or being adversely affected by, unacceptable levels of soil, air, water or noise pollution or land instability. Development should, wherever possible, help to improve local environmental conditions such as air and water quality, taking into account relevant information such as river basin management plans; and </w:t>
            </w:r>
          </w:p>
          <w:p w14:paraId="5B413955" w14:textId="3CA93D78" w:rsidR="008C65F5" w:rsidRPr="00984BD0" w:rsidRDefault="008C65F5" w:rsidP="00E6138D">
            <w:pPr>
              <w:rPr>
                <w:rFonts w:asciiTheme="minorHAnsi" w:hAnsiTheme="minorHAnsi"/>
              </w:rPr>
            </w:pPr>
            <w:r w:rsidRPr="008C65F5">
              <w:rPr>
                <w:rFonts w:asciiTheme="minorHAnsi" w:hAnsiTheme="minorHAnsi"/>
              </w:rPr>
              <w:t>f) remediating and mitigating despoiled, degraded, derelict, contaminated and unstable land, where appropriate.</w:t>
            </w:r>
          </w:p>
        </w:tc>
      </w:tr>
      <w:tr w:rsidR="008C65F5" w:rsidRPr="00984BD0" w14:paraId="0FA3948A" w14:textId="77777777" w:rsidTr="00E6138D">
        <w:tc>
          <w:tcPr>
            <w:tcW w:w="2547" w:type="dxa"/>
          </w:tcPr>
          <w:p w14:paraId="185B1178" w14:textId="77777777" w:rsidR="008C65F5" w:rsidRPr="00984BD0" w:rsidRDefault="008C65F5" w:rsidP="00E6138D">
            <w:pPr>
              <w:rPr>
                <w:rFonts w:asciiTheme="minorHAnsi" w:hAnsiTheme="minorHAnsi"/>
              </w:rPr>
            </w:pPr>
            <w:r w:rsidRPr="00984BD0">
              <w:rPr>
                <w:rFonts w:asciiTheme="minorHAnsi" w:hAnsiTheme="minorHAnsi"/>
              </w:rPr>
              <w:lastRenderedPageBreak/>
              <w:t>Relevance to Brinklow</w:t>
            </w:r>
          </w:p>
        </w:tc>
        <w:tc>
          <w:tcPr>
            <w:tcW w:w="6469" w:type="dxa"/>
          </w:tcPr>
          <w:p w14:paraId="789FCBA9" w14:textId="77777777" w:rsidR="008C65F5" w:rsidRDefault="008C65F5" w:rsidP="00E6138D">
            <w:pPr>
              <w:rPr>
                <w:rFonts w:asciiTheme="minorHAnsi" w:hAnsiTheme="minorHAnsi"/>
              </w:rPr>
            </w:pPr>
            <w:r>
              <w:rPr>
                <w:rFonts w:asciiTheme="minorHAnsi" w:hAnsiTheme="minorHAnsi"/>
              </w:rPr>
              <w:t>Sites 337 and 315 will destroy landscapes from Brinklow’s conservation area and scheduled monument.</w:t>
            </w:r>
          </w:p>
          <w:p w14:paraId="7FB6E3D1" w14:textId="77777777" w:rsidR="008C65F5" w:rsidRDefault="008C65F5" w:rsidP="00E6138D">
            <w:pPr>
              <w:rPr>
                <w:rFonts w:asciiTheme="minorHAnsi" w:hAnsiTheme="minorHAnsi"/>
              </w:rPr>
            </w:pPr>
            <w:r>
              <w:rPr>
                <w:rFonts w:asciiTheme="minorHAnsi" w:hAnsiTheme="minorHAnsi"/>
              </w:rPr>
              <w:t>Site 315 is food-productive agricultural land which will be permanently removed from our food chain</w:t>
            </w:r>
          </w:p>
          <w:p w14:paraId="78B9EC1A" w14:textId="3577612E" w:rsidR="008C65F5" w:rsidRPr="00984BD0" w:rsidRDefault="008C65F5" w:rsidP="00E6138D">
            <w:pPr>
              <w:rPr>
                <w:rFonts w:asciiTheme="minorHAnsi" w:hAnsiTheme="minorHAnsi"/>
              </w:rPr>
            </w:pPr>
            <w:r>
              <w:rPr>
                <w:rFonts w:asciiTheme="minorHAnsi" w:hAnsiTheme="minorHAnsi"/>
              </w:rPr>
              <w:t xml:space="preserve">Site 315 advice about protecting the biodiversity along the boundary produced by the site promoter’s ecology assessment has been ignored by the site promoter in order to create a secondary access to the site on to a single track lane. This has not been challenged by RBC either. </w:t>
            </w:r>
          </w:p>
        </w:tc>
      </w:tr>
      <w:tr w:rsidR="008C65F5" w:rsidRPr="00984BD0" w14:paraId="3D50405C" w14:textId="77777777" w:rsidTr="00E6138D">
        <w:tc>
          <w:tcPr>
            <w:tcW w:w="2547" w:type="dxa"/>
          </w:tcPr>
          <w:p w14:paraId="1186259D" w14:textId="77777777" w:rsidR="008C65F5" w:rsidRPr="00984BD0" w:rsidRDefault="008C65F5" w:rsidP="00E6138D">
            <w:pPr>
              <w:rPr>
                <w:rFonts w:asciiTheme="minorHAnsi" w:hAnsiTheme="minorHAnsi"/>
              </w:rPr>
            </w:pPr>
            <w:r w:rsidRPr="00984BD0">
              <w:rPr>
                <w:rFonts w:asciiTheme="minorHAnsi" w:hAnsiTheme="minorHAnsi"/>
              </w:rPr>
              <w:t>Theme relevance</w:t>
            </w:r>
          </w:p>
        </w:tc>
        <w:tc>
          <w:tcPr>
            <w:tcW w:w="6469" w:type="dxa"/>
          </w:tcPr>
          <w:p w14:paraId="625DA358" w14:textId="0DFA5DDE" w:rsidR="008C65F5" w:rsidRPr="00984BD0" w:rsidRDefault="008C65F5" w:rsidP="00E6138D">
            <w:pPr>
              <w:rPr>
                <w:rFonts w:asciiTheme="minorHAnsi" w:hAnsiTheme="minorHAnsi"/>
              </w:rPr>
            </w:pPr>
            <w:r>
              <w:rPr>
                <w:rFonts w:asciiTheme="minorHAnsi" w:hAnsiTheme="minorHAnsi"/>
              </w:rPr>
              <w:t xml:space="preserve">Landscape, </w:t>
            </w:r>
            <w:r>
              <w:rPr>
                <w:rFonts w:asciiTheme="minorHAnsi" w:hAnsiTheme="minorHAnsi"/>
              </w:rPr>
              <w:t>envir</w:t>
            </w:r>
            <w:r w:rsidR="0046793E">
              <w:rPr>
                <w:rFonts w:asciiTheme="minorHAnsi" w:hAnsiTheme="minorHAnsi"/>
              </w:rPr>
              <w:t>onment</w:t>
            </w:r>
          </w:p>
        </w:tc>
      </w:tr>
    </w:tbl>
    <w:p w14:paraId="1FD8FEBC" w14:textId="77777777" w:rsidR="00867C13" w:rsidRDefault="00867C13" w:rsidP="00FD6D63">
      <w:pPr>
        <w:rPr>
          <w:rFonts w:asciiTheme="minorHAnsi" w:hAnsiTheme="minorHAnsi"/>
        </w:rPr>
      </w:pPr>
    </w:p>
    <w:p w14:paraId="0951B716" w14:textId="20E955C1" w:rsidR="0046793E" w:rsidRPr="0046793E" w:rsidRDefault="0046793E" w:rsidP="00FD6D63">
      <w:pPr>
        <w:rPr>
          <w:rFonts w:asciiTheme="minorHAnsi" w:hAnsiTheme="minorHAnsi"/>
          <w:b/>
          <w:bCs/>
        </w:rPr>
      </w:pPr>
      <w:r w:rsidRPr="0046793E">
        <w:rPr>
          <w:rFonts w:asciiTheme="minorHAnsi" w:hAnsiTheme="minorHAnsi"/>
          <w:b/>
          <w:bCs/>
        </w:rPr>
        <w:t>Paragraph 203</w:t>
      </w:r>
    </w:p>
    <w:tbl>
      <w:tblPr>
        <w:tblStyle w:val="TableGrid"/>
        <w:tblW w:w="0" w:type="auto"/>
        <w:tblLook w:val="04A0" w:firstRow="1" w:lastRow="0" w:firstColumn="1" w:lastColumn="0" w:noHBand="0" w:noVBand="1"/>
      </w:tblPr>
      <w:tblGrid>
        <w:gridCol w:w="2547"/>
        <w:gridCol w:w="6469"/>
      </w:tblGrid>
      <w:tr w:rsidR="0046793E" w:rsidRPr="00984BD0" w14:paraId="46A02451" w14:textId="77777777" w:rsidTr="00E6138D">
        <w:tc>
          <w:tcPr>
            <w:tcW w:w="2547" w:type="dxa"/>
          </w:tcPr>
          <w:p w14:paraId="48FBE5F7" w14:textId="77777777" w:rsidR="0046793E" w:rsidRPr="00984BD0" w:rsidRDefault="0046793E" w:rsidP="00E6138D">
            <w:pPr>
              <w:rPr>
                <w:rFonts w:asciiTheme="minorHAnsi" w:hAnsiTheme="minorHAnsi"/>
              </w:rPr>
            </w:pPr>
            <w:r w:rsidRPr="00984BD0">
              <w:rPr>
                <w:rFonts w:asciiTheme="minorHAnsi" w:hAnsiTheme="minorHAnsi"/>
              </w:rPr>
              <w:t>Text from NPPF</w:t>
            </w:r>
          </w:p>
        </w:tc>
        <w:tc>
          <w:tcPr>
            <w:tcW w:w="6469" w:type="dxa"/>
          </w:tcPr>
          <w:p w14:paraId="6BB08126" w14:textId="77777777" w:rsidR="0046793E" w:rsidRDefault="0046793E" w:rsidP="00E6138D">
            <w:pPr>
              <w:rPr>
                <w:rFonts w:asciiTheme="minorHAnsi" w:hAnsiTheme="minorHAnsi"/>
              </w:rPr>
            </w:pPr>
            <w:r w:rsidRPr="0046793E">
              <w:rPr>
                <w:rFonts w:asciiTheme="minorHAnsi" w:hAnsiTheme="minorHAnsi"/>
              </w:rPr>
              <w:t xml:space="preserve">Plans should set out a positive strategy for the conservation and enjoyment of the historic environment, including heritage assets most at risk through neglect, decay or other threats. This strategy should take into account: </w:t>
            </w:r>
          </w:p>
          <w:p w14:paraId="4FEE55E3" w14:textId="77777777" w:rsidR="0046793E" w:rsidRDefault="0046793E" w:rsidP="00E6138D">
            <w:pPr>
              <w:rPr>
                <w:rFonts w:asciiTheme="minorHAnsi" w:hAnsiTheme="minorHAnsi"/>
              </w:rPr>
            </w:pPr>
            <w:r w:rsidRPr="0046793E">
              <w:rPr>
                <w:rFonts w:asciiTheme="minorHAnsi" w:hAnsiTheme="minorHAnsi"/>
              </w:rPr>
              <w:t xml:space="preserve">d) the desirability of sustaining and enhancing the significance of heritage assets, and putting them to viable uses consistent with their conservation; </w:t>
            </w:r>
          </w:p>
          <w:p w14:paraId="150E4151" w14:textId="77777777" w:rsidR="0046793E" w:rsidRDefault="0046793E" w:rsidP="00E6138D">
            <w:pPr>
              <w:rPr>
                <w:rFonts w:asciiTheme="minorHAnsi" w:hAnsiTheme="minorHAnsi"/>
              </w:rPr>
            </w:pPr>
            <w:r w:rsidRPr="0046793E">
              <w:rPr>
                <w:rFonts w:asciiTheme="minorHAnsi" w:hAnsiTheme="minorHAnsi"/>
              </w:rPr>
              <w:t xml:space="preserve">e) the wider social, cultural, economic and environmental benefits that conservation of the historic environment can bring; </w:t>
            </w:r>
          </w:p>
          <w:p w14:paraId="059F2D79" w14:textId="0561D3FD" w:rsidR="0046793E" w:rsidRPr="00984BD0" w:rsidRDefault="0046793E" w:rsidP="00E6138D">
            <w:pPr>
              <w:rPr>
                <w:rFonts w:asciiTheme="minorHAnsi" w:hAnsiTheme="minorHAnsi"/>
              </w:rPr>
            </w:pPr>
            <w:r w:rsidRPr="0046793E">
              <w:rPr>
                <w:rFonts w:asciiTheme="minorHAnsi" w:hAnsiTheme="minorHAnsi"/>
              </w:rPr>
              <w:t>f) the desirability of new development making a positive contribution to local character and distinctiveness; and g) opportunities to draw on the contribution made by the historic environment to the character of a place</w:t>
            </w:r>
          </w:p>
        </w:tc>
      </w:tr>
      <w:tr w:rsidR="0046793E" w:rsidRPr="00984BD0" w14:paraId="72452D65" w14:textId="77777777" w:rsidTr="00E6138D">
        <w:tc>
          <w:tcPr>
            <w:tcW w:w="2547" w:type="dxa"/>
          </w:tcPr>
          <w:p w14:paraId="089E1B75" w14:textId="77777777" w:rsidR="0046793E" w:rsidRPr="00984BD0" w:rsidRDefault="0046793E" w:rsidP="00E6138D">
            <w:pPr>
              <w:rPr>
                <w:rFonts w:asciiTheme="minorHAnsi" w:hAnsiTheme="minorHAnsi"/>
              </w:rPr>
            </w:pPr>
            <w:r w:rsidRPr="00984BD0">
              <w:rPr>
                <w:rFonts w:asciiTheme="minorHAnsi" w:hAnsiTheme="minorHAnsi"/>
              </w:rPr>
              <w:t>Relevance to Brinklow</w:t>
            </w:r>
          </w:p>
        </w:tc>
        <w:tc>
          <w:tcPr>
            <w:tcW w:w="6469" w:type="dxa"/>
          </w:tcPr>
          <w:p w14:paraId="72760BBB" w14:textId="5DA9216D" w:rsidR="0046793E" w:rsidRDefault="0046793E" w:rsidP="00E6138D">
            <w:pPr>
              <w:rPr>
                <w:rFonts w:asciiTheme="minorHAnsi" w:hAnsiTheme="minorHAnsi"/>
              </w:rPr>
            </w:pPr>
            <w:r>
              <w:rPr>
                <w:rFonts w:asciiTheme="minorHAnsi" w:hAnsiTheme="minorHAnsi"/>
              </w:rPr>
              <w:t>Heritage assets at risk from increased traffic using Ell Lane as a rat run around the village.</w:t>
            </w:r>
          </w:p>
          <w:p w14:paraId="186C4ED6" w14:textId="4DB1A1F4" w:rsidR="0046793E" w:rsidRDefault="0046793E" w:rsidP="00E6138D">
            <w:pPr>
              <w:rPr>
                <w:rFonts w:asciiTheme="minorHAnsi" w:hAnsiTheme="minorHAnsi"/>
              </w:rPr>
            </w:pPr>
            <w:r>
              <w:rPr>
                <w:rFonts w:asciiTheme="minorHAnsi" w:hAnsiTheme="minorHAnsi"/>
              </w:rPr>
              <w:t>Landscapes from heritage asset and conservation area will be permanently harmed from developments</w:t>
            </w:r>
          </w:p>
          <w:p w14:paraId="39268921" w14:textId="77777777" w:rsidR="0046793E" w:rsidRDefault="0046793E" w:rsidP="00E6138D">
            <w:pPr>
              <w:rPr>
                <w:rFonts w:asciiTheme="minorHAnsi" w:hAnsiTheme="minorHAnsi"/>
              </w:rPr>
            </w:pPr>
            <w:r>
              <w:rPr>
                <w:rFonts w:asciiTheme="minorHAnsi" w:hAnsiTheme="minorHAnsi"/>
              </w:rPr>
              <w:t>Cultural heritage of the village at risk by being overwhelmed by an 70% increase in dwellings</w:t>
            </w:r>
          </w:p>
          <w:p w14:paraId="2A574D82" w14:textId="30EDEC7D" w:rsidR="0046793E" w:rsidRPr="00984BD0" w:rsidRDefault="0046793E" w:rsidP="00E6138D">
            <w:pPr>
              <w:rPr>
                <w:rFonts w:asciiTheme="minorHAnsi" w:hAnsiTheme="minorHAnsi"/>
              </w:rPr>
            </w:pPr>
            <w:r>
              <w:rPr>
                <w:rFonts w:asciiTheme="minorHAnsi" w:hAnsiTheme="minorHAnsi"/>
              </w:rPr>
              <w:t>Key cultural events will not be able to go ahead any more as land used in the events e.g. Brinklow’s Scarecrow Festival will not be available due to having housing on them.</w:t>
            </w:r>
          </w:p>
        </w:tc>
      </w:tr>
      <w:tr w:rsidR="0046793E" w:rsidRPr="00984BD0" w14:paraId="3C953145" w14:textId="77777777" w:rsidTr="00E6138D">
        <w:tc>
          <w:tcPr>
            <w:tcW w:w="2547" w:type="dxa"/>
          </w:tcPr>
          <w:p w14:paraId="62EB6C3B" w14:textId="77777777" w:rsidR="0046793E" w:rsidRPr="00984BD0" w:rsidRDefault="0046793E" w:rsidP="00E6138D">
            <w:pPr>
              <w:rPr>
                <w:rFonts w:asciiTheme="minorHAnsi" w:hAnsiTheme="minorHAnsi"/>
              </w:rPr>
            </w:pPr>
            <w:r w:rsidRPr="00984BD0">
              <w:rPr>
                <w:rFonts w:asciiTheme="minorHAnsi" w:hAnsiTheme="minorHAnsi"/>
              </w:rPr>
              <w:t>Theme relevance</w:t>
            </w:r>
          </w:p>
        </w:tc>
        <w:tc>
          <w:tcPr>
            <w:tcW w:w="6469" w:type="dxa"/>
          </w:tcPr>
          <w:p w14:paraId="7CA40D0A" w14:textId="4E2EA942" w:rsidR="0046793E" w:rsidRPr="00984BD0" w:rsidRDefault="0046793E" w:rsidP="00E6138D">
            <w:pPr>
              <w:rPr>
                <w:rFonts w:asciiTheme="minorHAnsi" w:hAnsiTheme="minorHAnsi"/>
              </w:rPr>
            </w:pPr>
            <w:r>
              <w:rPr>
                <w:rFonts w:asciiTheme="minorHAnsi" w:hAnsiTheme="minorHAnsi"/>
              </w:rPr>
              <w:t>Scale, heritage, landscapes, travel</w:t>
            </w:r>
          </w:p>
        </w:tc>
      </w:tr>
    </w:tbl>
    <w:p w14:paraId="431F564A" w14:textId="77777777" w:rsidR="00867C13" w:rsidRDefault="00867C13" w:rsidP="00FD6D63">
      <w:pPr>
        <w:rPr>
          <w:rFonts w:asciiTheme="minorHAnsi" w:hAnsiTheme="minorHAnsi"/>
        </w:rPr>
      </w:pPr>
    </w:p>
    <w:p w14:paraId="67ACCFC2" w14:textId="77777777" w:rsidR="00FD6D63" w:rsidRPr="00984BD0" w:rsidRDefault="00FD6D63">
      <w:pPr>
        <w:rPr>
          <w:rFonts w:asciiTheme="minorHAnsi" w:hAnsiTheme="minorHAnsi"/>
          <w:b/>
          <w:bCs/>
        </w:rPr>
      </w:pPr>
    </w:p>
    <w:p w14:paraId="69F740AA" w14:textId="77777777" w:rsidR="00F35E8B" w:rsidRPr="00984BD0" w:rsidRDefault="00F35E8B">
      <w:pPr>
        <w:rPr>
          <w:rFonts w:asciiTheme="minorHAnsi" w:hAnsiTheme="minorHAnsi"/>
        </w:rPr>
      </w:pPr>
    </w:p>
    <w:p w14:paraId="69F740AB" w14:textId="77777777" w:rsidR="00F35E8B" w:rsidRPr="00984BD0" w:rsidRDefault="00F35E8B">
      <w:pPr>
        <w:rPr>
          <w:rFonts w:asciiTheme="minorHAnsi" w:hAnsiTheme="minorHAnsi"/>
        </w:rPr>
      </w:pPr>
    </w:p>
    <w:sectPr w:rsidR="00F35E8B" w:rsidRPr="00984BD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7407B" w14:textId="77777777" w:rsidR="0046793E" w:rsidRDefault="0046793E">
      <w:pPr>
        <w:spacing w:after="0" w:line="240" w:lineRule="auto"/>
      </w:pPr>
      <w:r>
        <w:separator/>
      </w:r>
    </w:p>
  </w:endnote>
  <w:endnote w:type="continuationSeparator" w:id="0">
    <w:p w14:paraId="69F7407D" w14:textId="77777777" w:rsidR="0046793E" w:rsidRDefault="00467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4077" w14:textId="77777777" w:rsidR="0046793E" w:rsidRDefault="0046793E">
      <w:pPr>
        <w:spacing w:after="0" w:line="240" w:lineRule="auto"/>
      </w:pPr>
      <w:r>
        <w:rPr>
          <w:color w:val="000000"/>
        </w:rPr>
        <w:separator/>
      </w:r>
    </w:p>
  </w:footnote>
  <w:footnote w:type="continuationSeparator" w:id="0">
    <w:p w14:paraId="69F74079" w14:textId="77777777" w:rsidR="0046793E" w:rsidRDefault="004679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E3F5F"/>
    <w:multiLevelType w:val="multilevel"/>
    <w:tmpl w:val="E7CE6E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875776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35E8B"/>
    <w:rsid w:val="00051488"/>
    <w:rsid w:val="0046793E"/>
    <w:rsid w:val="008668D4"/>
    <w:rsid w:val="00867C13"/>
    <w:rsid w:val="00890D94"/>
    <w:rsid w:val="008C65F5"/>
    <w:rsid w:val="00984BD0"/>
    <w:rsid w:val="00F35E8B"/>
    <w:rsid w:val="00FD6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4077"/>
  <w15:docId w15:val="{34C55EB6-6E7C-4C10-BE5A-6AB6AA18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table" w:styleId="TableGrid">
    <w:name w:val="Table Grid"/>
    <w:basedOn w:val="TableNormal"/>
    <w:uiPriority w:val="39"/>
    <w:rsid w:val="00984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1759</Words>
  <Characters>9923</Characters>
  <Application>Microsoft Office Word</Application>
  <DocSecurity>0</DocSecurity>
  <Lines>206</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Edwards</dc:creator>
  <dc:description/>
  <cp:lastModifiedBy>Claire Edwards</cp:lastModifiedBy>
  <cp:revision>4</cp:revision>
  <dcterms:created xsi:type="dcterms:W3CDTF">2026-02-11T09:08:00Z</dcterms:created>
  <dcterms:modified xsi:type="dcterms:W3CDTF">2026-02-11T09:53:00Z</dcterms:modified>
</cp:coreProperties>
</file>